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4013" w14:textId="77777777" w:rsidR="008C6EDA" w:rsidRPr="008C6EDA" w:rsidRDefault="008C6EDA" w:rsidP="008C6EDA">
      <w:pPr>
        <w:spacing w:after="0" w:line="240" w:lineRule="auto"/>
        <w:ind w:left="2160" w:firstLine="720"/>
        <w:rPr>
          <w:rFonts w:ascii="Times New Roman" w:hAnsi="Times New Roman"/>
          <w:b/>
          <w:spacing w:val="2"/>
        </w:rPr>
      </w:pPr>
    </w:p>
    <w:p w14:paraId="2D95F4EA" w14:textId="77777777" w:rsidR="008C6EDA" w:rsidRPr="008C6EDA" w:rsidRDefault="008C6EDA" w:rsidP="008C6EDA">
      <w:pPr>
        <w:spacing w:after="0" w:line="240" w:lineRule="auto"/>
        <w:ind w:left="2160" w:firstLine="720"/>
        <w:rPr>
          <w:rFonts w:ascii="Times New Roman" w:hAnsi="Times New Roman"/>
          <w:b/>
          <w:spacing w:val="2"/>
          <w:sz w:val="16"/>
          <w:szCs w:val="16"/>
        </w:rPr>
      </w:pPr>
      <w:r w:rsidRPr="008C6EDA">
        <w:rPr>
          <w:rFonts w:ascii="Times New Roman" w:hAnsi="Times New Roman"/>
          <w:b/>
          <w:spacing w:val="2"/>
        </w:rPr>
        <w:t>SUBMISSION COVER SHEET</w:t>
      </w:r>
    </w:p>
    <w:p w14:paraId="6CE190F1" w14:textId="14BA46B2" w:rsidR="008C6EDA" w:rsidRPr="008C6EDA" w:rsidRDefault="008C6EDA" w:rsidP="008C6EDA">
      <w:pPr>
        <w:spacing w:after="0" w:line="240" w:lineRule="auto"/>
        <w:ind w:firstLine="720"/>
        <w:rPr>
          <w:rFonts w:ascii="Times New Roman" w:hAnsi="Times New Roman"/>
          <w:spacing w:val="2"/>
        </w:rPr>
      </w:pPr>
      <w:r w:rsidRPr="008C6EDA">
        <w:rPr>
          <w:rFonts w:ascii="Times New Roman" w:hAnsi="Times New Roman"/>
          <w:b/>
          <w:i/>
          <w:spacing w:val="2"/>
        </w:rPr>
        <w:t>IMPORTANT</w:t>
      </w:r>
      <w:r w:rsidRPr="008C6EDA">
        <w:rPr>
          <w:rFonts w:ascii="Times New Roman" w:hAnsi="Times New Roman"/>
          <w:b/>
          <w:spacing w:val="2"/>
        </w:rPr>
        <w:t xml:space="preserve">:  </w:t>
      </w:r>
      <w:r w:rsidRPr="008C6EDA">
        <w:rPr>
          <w:rFonts w:ascii="Times New Roman" w:hAnsi="Times New Roman"/>
          <w:spacing w:val="2"/>
        </w:rPr>
        <w:t xml:space="preserve"> </w:t>
      </w:r>
      <w:r w:rsidRPr="008C6EDA">
        <w:rPr>
          <w:rFonts w:ascii="Times New Roman" w:hAnsi="Times New Roman"/>
          <w:b/>
          <w:spacing w:val="2"/>
        </w:rPr>
        <w:t xml:space="preserve"> Check box if Confidential Treatment is requested</w:t>
      </w:r>
      <w:r w:rsidRPr="008C6EDA">
        <w:rPr>
          <w:rFonts w:ascii="Times New Roman" w:hAnsi="Times New Roman"/>
          <w:spacing w:val="2"/>
        </w:rPr>
        <w:t xml:space="preserve"> </w:t>
      </w:r>
      <w:r w:rsidRPr="008C6EDA">
        <w:rPr>
          <w:rFonts w:ascii="Times New Roman" w:hAnsi="Times New Roman"/>
          <w:spacing w:val="2"/>
          <w:sz w:val="28"/>
          <w:szCs w:val="28"/>
        </w:rPr>
        <w:t xml:space="preserve"> </w:t>
      </w:r>
      <w:r w:rsidR="00056D33">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sidR="00056D33">
        <w:rPr>
          <w:rFonts w:ascii="Times New Roman" w:eastAsia="Times New Roman" w:hAnsi="Times New Roman"/>
          <w:color w:val="000000"/>
          <w:spacing w:val="2"/>
          <w:sz w:val="24"/>
          <w:szCs w:val="20"/>
          <w:shd w:val="clear" w:color="auto" w:fill="FFFFFF"/>
        </w:rPr>
        <w:instrText xml:space="preserve"> FORMCHECKBOX </w:instrText>
      </w:r>
      <w:r w:rsidR="00056D33">
        <w:rPr>
          <w:rFonts w:ascii="Times New Roman" w:eastAsia="Times New Roman" w:hAnsi="Times New Roman"/>
          <w:color w:val="000000"/>
          <w:spacing w:val="2"/>
          <w:sz w:val="24"/>
          <w:szCs w:val="20"/>
          <w:shd w:val="clear" w:color="auto" w:fill="FFFFFF"/>
        </w:rPr>
      </w:r>
      <w:r w:rsidR="00056D33">
        <w:rPr>
          <w:rFonts w:ascii="Times New Roman" w:eastAsia="Times New Roman" w:hAnsi="Times New Roman"/>
          <w:color w:val="000000"/>
          <w:spacing w:val="2"/>
          <w:sz w:val="24"/>
          <w:szCs w:val="20"/>
          <w:shd w:val="clear" w:color="auto" w:fill="FFFFFF"/>
        </w:rPr>
        <w:fldChar w:fldCharType="separate"/>
      </w:r>
      <w:r w:rsidR="00056D33">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spacing w:val="2"/>
        </w:rPr>
        <w:tab/>
      </w:r>
    </w:p>
    <w:p w14:paraId="248268E2" w14:textId="7974603B" w:rsidR="008C6EDA" w:rsidRPr="008C6EDA" w:rsidRDefault="008C6EDA" w:rsidP="008C6EDA">
      <w:pPr>
        <w:spacing w:after="120" w:line="240" w:lineRule="auto"/>
        <w:ind w:firstLine="720"/>
        <w:rPr>
          <w:rFonts w:ascii="Times New Roman" w:hAnsi="Times New Roman"/>
          <w:b/>
        </w:rPr>
      </w:pPr>
      <w:r w:rsidRPr="008C6EDA">
        <w:rPr>
          <w:rFonts w:ascii="Times New Roman" w:hAnsi="Times New Roman"/>
          <w:b/>
        </w:rPr>
        <w:t>Registered Entity Identifier Code (optional</w:t>
      </w:r>
      <w:r w:rsidR="003554DD" w:rsidRPr="0060695C">
        <w:rPr>
          <w:rFonts w:ascii="Times New Roman" w:hAnsi="Times New Roman"/>
          <w:b/>
        </w:rPr>
        <w:t>)</w:t>
      </w:r>
      <w:r w:rsidR="003554DD" w:rsidRPr="006D4A8E">
        <w:rPr>
          <w:rFonts w:ascii="Times New Roman" w:hAnsi="Times New Roman"/>
          <w:b/>
        </w:rPr>
        <w:t>:</w:t>
      </w:r>
      <w:r w:rsidR="00D567FF" w:rsidRPr="006D4A8E">
        <w:rPr>
          <w:rFonts w:ascii="Times New Roman" w:hAnsi="Times New Roman"/>
          <w:b/>
        </w:rPr>
        <w:t xml:space="preserve"> </w:t>
      </w:r>
    </w:p>
    <w:p w14:paraId="39FE7F58" w14:textId="4D6398FA" w:rsidR="008C6EDA" w:rsidRPr="008C6EDA" w:rsidRDefault="008C6EDA" w:rsidP="008C6EDA">
      <w:pPr>
        <w:spacing w:after="60" w:line="240" w:lineRule="auto"/>
        <w:ind w:left="720"/>
        <w:rPr>
          <w:rFonts w:ascii="Times New Roman" w:hAnsi="Times New Roman"/>
          <w:b/>
        </w:rPr>
      </w:pPr>
      <w:r w:rsidRPr="008C6EDA">
        <w:rPr>
          <w:rFonts w:ascii="Times New Roman" w:hAnsi="Times New Roman"/>
          <w:b/>
        </w:rPr>
        <w:t>Organization:</w:t>
      </w:r>
      <w:r w:rsidRPr="008C6EDA">
        <w:rPr>
          <w:rFonts w:ascii="Times New Roman" w:hAnsi="Times New Roman"/>
        </w:rPr>
        <w:t xml:space="preserve"> </w:t>
      </w:r>
      <w:r w:rsidR="00D350C3">
        <w:rPr>
          <w:rFonts w:ascii="Times New Roman" w:eastAsia="Times New Roman" w:hAnsi="Times New Roman"/>
          <w:b/>
          <w:color w:val="000000"/>
          <w:u w:val="single"/>
          <w:shd w:val="clear" w:color="auto" w:fill="FFFFFF"/>
        </w:rPr>
        <w:fldChar w:fldCharType="begin">
          <w:ffData>
            <w:name w:val=""/>
            <w:enabled/>
            <w:calcOnExit w:val="0"/>
            <w:textInput>
              <w:default w:val="OSTTRA SEF Limited (&quot;OSTTRA SEF&quot;)"/>
            </w:textInput>
          </w:ffData>
        </w:fldChar>
      </w:r>
      <w:r w:rsidR="00D350C3">
        <w:rPr>
          <w:rFonts w:ascii="Times New Roman" w:eastAsia="Times New Roman" w:hAnsi="Times New Roman"/>
          <w:b/>
          <w:color w:val="000000"/>
          <w:u w:val="single"/>
          <w:shd w:val="clear" w:color="auto" w:fill="FFFFFF"/>
        </w:rPr>
        <w:instrText xml:space="preserve"> FORMTEXT </w:instrText>
      </w:r>
      <w:r w:rsidR="00D350C3">
        <w:rPr>
          <w:rFonts w:ascii="Times New Roman" w:eastAsia="Times New Roman" w:hAnsi="Times New Roman"/>
          <w:b/>
          <w:color w:val="000000"/>
          <w:u w:val="single"/>
          <w:shd w:val="clear" w:color="auto" w:fill="FFFFFF"/>
        </w:rPr>
      </w:r>
      <w:r w:rsidR="00D350C3">
        <w:rPr>
          <w:rFonts w:ascii="Times New Roman" w:eastAsia="Times New Roman" w:hAnsi="Times New Roman"/>
          <w:b/>
          <w:color w:val="000000"/>
          <w:u w:val="single"/>
          <w:shd w:val="clear" w:color="auto" w:fill="FFFFFF"/>
        </w:rPr>
        <w:fldChar w:fldCharType="separate"/>
      </w:r>
      <w:r w:rsidR="00D350C3">
        <w:rPr>
          <w:rFonts w:ascii="Times New Roman" w:eastAsia="Times New Roman" w:hAnsi="Times New Roman"/>
          <w:b/>
          <w:noProof/>
          <w:color w:val="000000"/>
          <w:u w:val="single"/>
          <w:shd w:val="clear" w:color="auto" w:fill="FFFFFF"/>
        </w:rPr>
        <w:t>OSTTRA SEF Limited ("OSTTRA SEF")</w:t>
      </w:r>
      <w:r w:rsidR="00D350C3">
        <w:rPr>
          <w:rFonts w:ascii="Times New Roman" w:eastAsia="Times New Roman" w:hAnsi="Times New Roman"/>
          <w:b/>
          <w:color w:val="000000"/>
          <w:u w:val="single"/>
          <w:shd w:val="clear" w:color="auto" w:fill="FFFFFF"/>
        </w:rPr>
        <w:fldChar w:fldCharType="end"/>
      </w:r>
    </w:p>
    <w:p w14:paraId="73681341" w14:textId="26F5CBE6" w:rsidR="008C6EDA" w:rsidRPr="008C6EDA" w:rsidRDefault="008C6EDA" w:rsidP="008C6EDA">
      <w:pPr>
        <w:spacing w:after="60" w:line="240" w:lineRule="auto"/>
        <w:ind w:firstLine="720"/>
        <w:rPr>
          <w:rFonts w:ascii="Times New Roman" w:hAnsi="Times New Roman"/>
          <w:b/>
          <w:spacing w:val="2"/>
        </w:rPr>
      </w:pPr>
      <w:r w:rsidRPr="008C6EDA">
        <w:rPr>
          <w:rFonts w:ascii="Times New Roman" w:hAnsi="Times New Roman"/>
          <w:b/>
          <w:spacing w:val="2"/>
        </w:rPr>
        <w:t>Filing as a:</w:t>
      </w:r>
      <w:r w:rsidRPr="008C6EDA">
        <w:rPr>
          <w:rFonts w:ascii="Times New Roman" w:hAnsi="Times New Roman"/>
          <w:b/>
          <w:spacing w:val="2"/>
          <w:sz w:val="24"/>
          <w:szCs w:val="24"/>
        </w:rPr>
        <w:t xml:space="preserve">        </w:t>
      </w:r>
      <w:r w:rsidR="0093260B">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0093260B">
        <w:rPr>
          <w:rFonts w:ascii="Times New Roman" w:eastAsia="Times New Roman" w:hAnsi="Times New Roman"/>
          <w:color w:val="000000"/>
          <w:spacing w:val="2"/>
          <w:sz w:val="24"/>
          <w:szCs w:val="20"/>
          <w:shd w:val="clear" w:color="auto" w:fill="FFFFFF"/>
        </w:rPr>
        <w:instrText xml:space="preserve"> FORMCHECKBOX </w:instrText>
      </w:r>
      <w:r w:rsidR="0093260B">
        <w:rPr>
          <w:rFonts w:ascii="Times New Roman" w:eastAsia="Times New Roman" w:hAnsi="Times New Roman"/>
          <w:color w:val="000000"/>
          <w:spacing w:val="2"/>
          <w:sz w:val="24"/>
          <w:szCs w:val="20"/>
          <w:shd w:val="clear" w:color="auto" w:fill="FFFFFF"/>
        </w:rPr>
      </w:r>
      <w:r w:rsidR="0093260B">
        <w:rPr>
          <w:rFonts w:ascii="Times New Roman" w:eastAsia="Times New Roman" w:hAnsi="Times New Roman"/>
          <w:color w:val="000000"/>
          <w:spacing w:val="2"/>
          <w:sz w:val="24"/>
          <w:szCs w:val="20"/>
          <w:shd w:val="clear" w:color="auto" w:fill="FFFFFF"/>
        </w:rPr>
        <w:fldChar w:fldCharType="separate"/>
      </w:r>
      <w:r w:rsidR="0093260B">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DCM          </w:t>
      </w:r>
      <w:r w:rsidR="0093260B">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sidR="0093260B">
        <w:rPr>
          <w:rFonts w:ascii="Times New Roman" w:eastAsia="Times New Roman" w:hAnsi="Times New Roman"/>
          <w:color w:val="000000"/>
          <w:spacing w:val="2"/>
          <w:sz w:val="24"/>
          <w:szCs w:val="20"/>
          <w:shd w:val="clear" w:color="auto" w:fill="FFFFFF"/>
        </w:rPr>
        <w:instrText xml:space="preserve"> FORMCHECKBOX </w:instrText>
      </w:r>
      <w:r w:rsidR="0093260B">
        <w:rPr>
          <w:rFonts w:ascii="Times New Roman" w:eastAsia="Times New Roman" w:hAnsi="Times New Roman"/>
          <w:color w:val="000000"/>
          <w:spacing w:val="2"/>
          <w:sz w:val="24"/>
          <w:szCs w:val="20"/>
          <w:shd w:val="clear" w:color="auto" w:fill="FFFFFF"/>
        </w:rPr>
      </w:r>
      <w:r w:rsidR="0093260B">
        <w:rPr>
          <w:rFonts w:ascii="Times New Roman" w:eastAsia="Times New Roman" w:hAnsi="Times New Roman"/>
          <w:color w:val="000000"/>
          <w:spacing w:val="2"/>
          <w:sz w:val="24"/>
          <w:szCs w:val="20"/>
          <w:shd w:val="clear" w:color="auto" w:fill="FFFFFF"/>
        </w:rPr>
        <w:fldChar w:fldCharType="separate"/>
      </w:r>
      <w:r w:rsidR="0093260B">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SEF          </w:t>
      </w: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DCO          </w:t>
      </w: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SDR       </w:t>
      </w:r>
    </w:p>
    <w:p w14:paraId="7AB79EF8" w14:textId="77777777" w:rsidR="008C6EDA" w:rsidRPr="008C6EDA" w:rsidRDefault="008C6EDA" w:rsidP="008C6EDA">
      <w:pPr>
        <w:spacing w:after="60" w:line="240" w:lineRule="auto"/>
        <w:ind w:firstLine="720"/>
        <w:rPr>
          <w:rFonts w:ascii="Times New Roman" w:hAnsi="Times New Roman"/>
          <w:b/>
          <w:spacing w:val="2"/>
        </w:rPr>
      </w:pPr>
      <w:r w:rsidRPr="008C6EDA">
        <w:rPr>
          <w:rFonts w:ascii="Times New Roman" w:hAnsi="Times New Roman"/>
          <w:b/>
          <w:spacing w:val="2"/>
        </w:rPr>
        <w:t>Please note - only ONE choice allowed.</w:t>
      </w:r>
    </w:p>
    <w:p w14:paraId="71718657" w14:textId="17A408EF" w:rsidR="003D10D4" w:rsidRDefault="008C6EDA" w:rsidP="000771F2">
      <w:pPr>
        <w:spacing w:after="120" w:line="240" w:lineRule="auto"/>
        <w:ind w:left="720"/>
        <w:jc w:val="both"/>
        <w:rPr>
          <w:rFonts w:ascii="Times New Roman" w:eastAsia="Times New Roman" w:hAnsi="Times New Roman"/>
          <w:b/>
          <w:sz w:val="24"/>
          <w:szCs w:val="24"/>
          <w:u w:val="single"/>
        </w:rPr>
      </w:pPr>
      <w:r w:rsidRPr="008C6EDA">
        <w:rPr>
          <w:rFonts w:ascii="Times New Roman" w:hAnsi="Times New Roman"/>
          <w:b/>
          <w:spacing w:val="2"/>
        </w:rPr>
        <w:t>Filing Date (mm/dd/</w:t>
      </w:r>
      <w:proofErr w:type="spellStart"/>
      <w:r w:rsidRPr="008C6EDA">
        <w:rPr>
          <w:rFonts w:ascii="Times New Roman" w:hAnsi="Times New Roman"/>
          <w:b/>
          <w:spacing w:val="2"/>
        </w:rPr>
        <w:t>yy</w:t>
      </w:r>
      <w:proofErr w:type="spellEnd"/>
      <w:r w:rsidRPr="008C6EDA">
        <w:rPr>
          <w:rFonts w:ascii="Times New Roman" w:hAnsi="Times New Roman"/>
          <w:b/>
          <w:spacing w:val="2"/>
        </w:rPr>
        <w:t xml:space="preserve">): </w:t>
      </w:r>
      <w:r w:rsidR="00D350C3">
        <w:rPr>
          <w:rFonts w:ascii="Times New Roman" w:hAnsi="Times New Roman"/>
          <w:b/>
          <w:spacing w:val="2"/>
          <w:u w:val="single"/>
        </w:rPr>
        <w:t>11</w:t>
      </w:r>
      <w:r w:rsidR="00056D33">
        <w:rPr>
          <w:rFonts w:ascii="Times New Roman" w:hAnsi="Times New Roman"/>
          <w:b/>
          <w:spacing w:val="2"/>
          <w:u w:val="single"/>
        </w:rPr>
        <w:t>/</w:t>
      </w:r>
      <w:r w:rsidR="00F168D4">
        <w:rPr>
          <w:rFonts w:ascii="Times New Roman" w:hAnsi="Times New Roman"/>
          <w:b/>
          <w:spacing w:val="2"/>
          <w:u w:val="single"/>
        </w:rPr>
        <w:t>1</w:t>
      </w:r>
      <w:r w:rsidR="002E0B94">
        <w:rPr>
          <w:rFonts w:ascii="Times New Roman" w:hAnsi="Times New Roman"/>
          <w:b/>
          <w:spacing w:val="2"/>
          <w:u w:val="single"/>
        </w:rPr>
        <w:t>9</w:t>
      </w:r>
      <w:r w:rsidR="00D350C3">
        <w:rPr>
          <w:rFonts w:ascii="Times New Roman" w:hAnsi="Times New Roman"/>
          <w:b/>
          <w:spacing w:val="2"/>
          <w:u w:val="single"/>
        </w:rPr>
        <w:t>/</w:t>
      </w:r>
      <w:r w:rsidR="00056D33">
        <w:rPr>
          <w:rFonts w:ascii="Times New Roman" w:hAnsi="Times New Roman"/>
          <w:b/>
          <w:spacing w:val="2"/>
          <w:u w:val="single"/>
        </w:rPr>
        <w:t>2025</w:t>
      </w:r>
      <w:r w:rsidRPr="008C6EDA">
        <w:rPr>
          <w:rFonts w:ascii="Times New Roman" w:hAnsi="Times New Roman"/>
          <w:b/>
          <w:spacing w:val="2"/>
        </w:rPr>
        <w:t xml:space="preserve"> </w:t>
      </w:r>
      <w:r w:rsidR="001E3710">
        <w:rPr>
          <w:rFonts w:ascii="Times New Roman" w:hAnsi="Times New Roman"/>
          <w:b/>
          <w:spacing w:val="2"/>
        </w:rPr>
        <w:t xml:space="preserve"> </w:t>
      </w:r>
      <w:r w:rsidRPr="008C6EDA">
        <w:rPr>
          <w:rFonts w:ascii="Times New Roman" w:hAnsi="Times New Roman"/>
          <w:b/>
          <w:spacing w:val="2"/>
        </w:rPr>
        <w:t xml:space="preserve"> Filing Description</w:t>
      </w:r>
      <w:r w:rsidRPr="00252EC6">
        <w:rPr>
          <w:rFonts w:ascii="Times New Roman" w:hAnsi="Times New Roman"/>
          <w:b/>
          <w:spacing w:val="2"/>
          <w:sz w:val="24"/>
          <w:szCs w:val="24"/>
        </w:rPr>
        <w:t>:</w:t>
      </w:r>
      <w:r w:rsidR="009D46C8" w:rsidRPr="00252EC6">
        <w:rPr>
          <w:rFonts w:ascii="Times New Roman" w:hAnsi="Times New Roman"/>
          <w:b/>
          <w:spacing w:val="2"/>
          <w:sz w:val="24"/>
          <w:szCs w:val="24"/>
        </w:rPr>
        <w:t xml:space="preserve"> </w:t>
      </w:r>
      <w:r w:rsidR="003D10D4" w:rsidRPr="00252EC6">
        <w:rPr>
          <w:rFonts w:ascii="Times New Roman" w:eastAsia="Times New Roman" w:hAnsi="Times New Roman"/>
          <w:b/>
          <w:sz w:val="24"/>
          <w:szCs w:val="24"/>
          <w:u w:val="single"/>
        </w:rPr>
        <w:t xml:space="preserve">Amendments to </w:t>
      </w:r>
      <w:r w:rsidR="00F168D4">
        <w:rPr>
          <w:rFonts w:ascii="Times New Roman" w:eastAsia="Times New Roman" w:hAnsi="Times New Roman"/>
          <w:b/>
          <w:sz w:val="24"/>
          <w:szCs w:val="24"/>
          <w:u w:val="single"/>
        </w:rPr>
        <w:t>Form</w:t>
      </w:r>
      <w:r w:rsidR="003D10D4" w:rsidRPr="00252EC6">
        <w:rPr>
          <w:rFonts w:ascii="Times New Roman" w:eastAsia="Times New Roman" w:hAnsi="Times New Roman"/>
          <w:b/>
          <w:sz w:val="24"/>
          <w:szCs w:val="24"/>
          <w:u w:val="single"/>
        </w:rPr>
        <w:t xml:space="preserve"> SEF</w:t>
      </w:r>
      <w:r w:rsidR="00F168D4">
        <w:rPr>
          <w:rFonts w:ascii="Times New Roman" w:eastAsia="Times New Roman" w:hAnsi="Times New Roman"/>
          <w:b/>
          <w:sz w:val="24"/>
          <w:szCs w:val="24"/>
          <w:u w:val="single"/>
        </w:rPr>
        <w:t xml:space="preserve"> Exhibits in connection with the Equity Transfer from CME Group to OSTTRA</w:t>
      </w:r>
      <w:r w:rsidR="00056D33">
        <w:rPr>
          <w:rFonts w:ascii="Times New Roman" w:eastAsia="Times New Roman" w:hAnsi="Times New Roman"/>
          <w:b/>
          <w:sz w:val="24"/>
          <w:szCs w:val="24"/>
          <w:u w:val="single"/>
        </w:rPr>
        <w:t xml:space="preserve">. </w:t>
      </w:r>
    </w:p>
    <w:p w14:paraId="3830DE72" w14:textId="01A2119F" w:rsidR="008C6EDA" w:rsidRPr="008C6EDA" w:rsidRDefault="003D10D4" w:rsidP="003D10D4">
      <w:pPr>
        <w:spacing w:after="120" w:line="240" w:lineRule="auto"/>
        <w:ind w:left="720"/>
        <w:rPr>
          <w:rFonts w:ascii="Times New Roman" w:hAnsi="Times New Roman"/>
          <w:b/>
          <w:spacing w:val="2"/>
        </w:rPr>
      </w:pPr>
      <w:r w:rsidDel="003D10D4">
        <w:rPr>
          <w:rFonts w:ascii="Times New Roman" w:hAnsi="Times New Roman"/>
          <w:b/>
          <w:spacing w:val="2"/>
        </w:rPr>
        <w:t xml:space="preserve"> </w:t>
      </w:r>
      <w:r w:rsidR="008C6EDA" w:rsidRPr="008C6EDA">
        <w:rPr>
          <w:rFonts w:ascii="Times New Roman" w:hAnsi="Times New Roman"/>
          <w:b/>
          <w:spacing w:val="2"/>
        </w:rPr>
        <w:t xml:space="preserve">SPECIFY FILING TYPE </w:t>
      </w:r>
      <w:r w:rsidR="008C6EDA" w:rsidRPr="008C6EDA">
        <w:rPr>
          <w:rFonts w:ascii="Times New Roman" w:hAnsi="Times New Roman"/>
          <w:b/>
          <w:spacing w:val="2"/>
        </w:rPr>
        <w:tab/>
      </w:r>
      <w:r w:rsidR="008C6EDA" w:rsidRPr="008C6EDA">
        <w:rPr>
          <w:rFonts w:ascii="Times New Roman" w:hAnsi="Times New Roman"/>
          <w:b/>
          <w:spacing w:val="2"/>
        </w:rPr>
        <w:tab/>
      </w:r>
    </w:p>
    <w:p w14:paraId="45D295B4" w14:textId="77777777" w:rsidR="008C6EDA" w:rsidRPr="008C6EDA" w:rsidRDefault="008C6EDA" w:rsidP="008C6EDA">
      <w:pPr>
        <w:spacing w:after="60" w:line="240" w:lineRule="auto"/>
        <w:ind w:left="720"/>
        <w:rPr>
          <w:rFonts w:ascii="Times New Roman" w:hAnsi="Times New Roman"/>
          <w:b/>
          <w:spacing w:val="2"/>
        </w:rPr>
      </w:pPr>
      <w:r w:rsidRPr="008C6EDA">
        <w:rPr>
          <w:rFonts w:ascii="Times New Roman" w:hAnsi="Times New Roman"/>
          <w:b/>
          <w:spacing w:val="2"/>
        </w:rPr>
        <w:t>Please note only ONE choice allowed per Submission.</w:t>
      </w:r>
    </w:p>
    <w:p w14:paraId="3AC5EF83" w14:textId="77777777" w:rsidR="008C6EDA" w:rsidRPr="008C6EDA" w:rsidRDefault="008C6EDA" w:rsidP="008C6EDA">
      <w:pPr>
        <w:spacing w:after="120" w:line="240" w:lineRule="auto"/>
        <w:ind w:firstLine="720"/>
        <w:rPr>
          <w:rFonts w:ascii="Times New Roman" w:hAnsi="Times New Roman"/>
          <w:b/>
          <w:spacing w:val="2"/>
        </w:rPr>
      </w:pPr>
      <w:r w:rsidRPr="008C6EDA">
        <w:rPr>
          <w:rFonts w:ascii="Times New Roman" w:hAnsi="Times New Roman"/>
          <w:b/>
          <w:spacing w:val="2"/>
        </w:rPr>
        <w:t>Organization Rules and Rule Amendments</w:t>
      </w:r>
    </w:p>
    <w:p w14:paraId="56823540" w14:textId="103C671A" w:rsidR="008C6EDA" w:rsidRPr="008C6EDA" w:rsidRDefault="002E0B94" w:rsidP="008C6EDA">
      <w:pPr>
        <w:tabs>
          <w:tab w:val="left" w:pos="360"/>
        </w:tabs>
        <w:spacing w:after="0" w:line="240" w:lineRule="auto"/>
        <w:ind w:left="720"/>
        <w:rPr>
          <w:rFonts w:ascii="Times New Roman" w:hAnsi="Times New Roman"/>
          <w:spacing w:val="2"/>
          <w:sz w:val="20"/>
          <w:szCs w:val="20"/>
        </w:rPr>
      </w:pPr>
      <w:r>
        <w:rPr>
          <w:rFonts w:ascii="Times New Roman" w:eastAsia="Times New Roman" w:hAnsi="Times New Roman"/>
          <w:color w:val="000000"/>
          <w:spacing w:val="2"/>
          <w:sz w:val="24"/>
          <w:szCs w:val="20"/>
          <w:shd w:val="clear" w:color="auto" w:fill="FFFFFF"/>
        </w:rPr>
        <w:fldChar w:fldCharType="begin">
          <w:ffData>
            <w:name w:val=""/>
            <w:enabled w:val="0"/>
            <w:calcOnExit w:val="0"/>
            <w:checkBox>
              <w:size w:val="32"/>
              <w:default w:val="0"/>
            </w:checkBox>
          </w:ffData>
        </w:fldChar>
      </w:r>
      <w:r>
        <w:rPr>
          <w:rFonts w:ascii="Times New Roman" w:eastAsia="Times New Roman" w:hAnsi="Times New Roman"/>
          <w:color w:val="000000"/>
          <w:spacing w:val="2"/>
          <w:sz w:val="24"/>
          <w:szCs w:val="20"/>
          <w:shd w:val="clear" w:color="auto" w:fill="FFFFFF"/>
        </w:rPr>
        <w:instrText xml:space="preserve"> FORMCHECKBOX </w:instrText>
      </w:r>
      <w:r>
        <w:rPr>
          <w:rFonts w:ascii="Times New Roman" w:eastAsia="Times New Roman" w:hAnsi="Times New Roman"/>
          <w:color w:val="000000"/>
          <w:spacing w:val="2"/>
          <w:sz w:val="24"/>
          <w:szCs w:val="20"/>
          <w:shd w:val="clear" w:color="auto" w:fill="FFFFFF"/>
        </w:rPr>
      </w:r>
      <w:r>
        <w:rPr>
          <w:rFonts w:ascii="Times New Roman" w:eastAsia="Times New Roman" w:hAnsi="Times New Roman"/>
          <w:color w:val="000000"/>
          <w:spacing w:val="2"/>
          <w:sz w:val="24"/>
          <w:szCs w:val="20"/>
          <w:shd w:val="clear" w:color="auto" w:fill="FFFFFF"/>
        </w:rPr>
        <w:fldChar w:fldCharType="separate"/>
      </w:r>
      <w:r>
        <w:rPr>
          <w:rFonts w:ascii="Times New Roman" w:eastAsia="Times New Roman" w:hAnsi="Times New Roman"/>
          <w:color w:val="000000"/>
          <w:spacing w:val="2"/>
          <w:sz w:val="24"/>
          <w:szCs w:val="20"/>
          <w:shd w:val="clear" w:color="auto" w:fill="FFFFFF"/>
        </w:rPr>
        <w:fldChar w:fldCharType="end"/>
      </w:r>
      <w:r w:rsidR="008C6EDA" w:rsidRPr="008C6EDA">
        <w:rPr>
          <w:rFonts w:ascii="Times New Roman" w:eastAsia="Times New Roman" w:hAnsi="Times New Roman"/>
          <w:color w:val="000000"/>
          <w:spacing w:val="2"/>
          <w:sz w:val="24"/>
          <w:szCs w:val="20"/>
          <w:shd w:val="clear" w:color="auto" w:fill="FFFFFF"/>
        </w:rPr>
        <w:tab/>
      </w:r>
      <w:r w:rsidR="008C6EDA" w:rsidRPr="008C6EDA">
        <w:rPr>
          <w:rFonts w:ascii="Times New Roman" w:hAnsi="Times New Roman"/>
          <w:spacing w:val="2"/>
          <w:sz w:val="20"/>
          <w:szCs w:val="20"/>
        </w:rPr>
        <w:t>Certification</w:t>
      </w:r>
      <w:r w:rsidR="008C6EDA" w:rsidRPr="008C6EDA">
        <w:rPr>
          <w:rFonts w:ascii="Times New Roman" w:hAnsi="Times New Roman"/>
          <w:b/>
          <w:noProof/>
          <w:spacing w:val="2"/>
          <w:sz w:val="20"/>
          <w:szCs w:val="20"/>
        </w:rPr>
        <w:t xml:space="preserve"> </w:t>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spacing w:val="2"/>
          <w:sz w:val="20"/>
          <w:szCs w:val="20"/>
        </w:rPr>
        <w:tab/>
      </w:r>
      <w:r w:rsidR="008C6EDA" w:rsidRPr="008C6EDA">
        <w:rPr>
          <w:rFonts w:ascii="Times New Roman" w:hAnsi="Times New Roman"/>
          <w:color w:val="000000"/>
          <w:spacing w:val="2"/>
          <w:sz w:val="20"/>
          <w:szCs w:val="20"/>
        </w:rPr>
        <w:t xml:space="preserve">§ </w:t>
      </w:r>
      <w:r w:rsidR="008C6EDA" w:rsidRPr="008C6EDA">
        <w:rPr>
          <w:rFonts w:ascii="Times New Roman" w:hAnsi="Times New Roman"/>
          <w:spacing w:val="2"/>
          <w:sz w:val="20"/>
          <w:szCs w:val="20"/>
        </w:rPr>
        <w:t>40.6(a)</w:t>
      </w:r>
    </w:p>
    <w:p w14:paraId="5C41CF16" w14:textId="77777777" w:rsidR="008C6EDA" w:rsidRPr="008C6EDA" w:rsidRDefault="008C6EDA" w:rsidP="008C6EDA">
      <w:pPr>
        <w:tabs>
          <w:tab w:val="left" w:pos="360"/>
        </w:tabs>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Approval</w:t>
      </w:r>
      <w:r w:rsidRPr="008C6EDA">
        <w:rPr>
          <w:rFonts w:ascii="Times New Roman" w:hAnsi="Times New Roman"/>
          <w:b/>
          <w:noProof/>
          <w:spacing w:val="2"/>
          <w:sz w:val="20"/>
          <w:szCs w:val="20"/>
        </w:rPr>
        <w:t xml:space="preserve"> </w:t>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40.5(a)</w:t>
      </w:r>
    </w:p>
    <w:p w14:paraId="63B25BFA" w14:textId="77777777" w:rsidR="008C6EDA" w:rsidRPr="008C6EDA" w:rsidRDefault="008C6EDA" w:rsidP="008C6EDA">
      <w:pPr>
        <w:tabs>
          <w:tab w:val="left" w:pos="360"/>
        </w:tabs>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Notification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40.6(d)</w:t>
      </w:r>
    </w:p>
    <w:p w14:paraId="4FE9EC85" w14:textId="00C81CD4" w:rsidR="008C6EDA" w:rsidRPr="008C6EDA" w:rsidRDefault="002E0B94" w:rsidP="002E0B94">
      <w:pPr>
        <w:tabs>
          <w:tab w:val="left" w:pos="360"/>
        </w:tabs>
        <w:spacing w:after="0" w:line="240" w:lineRule="auto"/>
        <w:ind w:left="720"/>
        <w:rPr>
          <w:rFonts w:ascii="Times New Roman" w:hAnsi="Times New Roman"/>
          <w:spacing w:val="2"/>
          <w:sz w:val="20"/>
          <w:szCs w:val="20"/>
        </w:rPr>
      </w:pPr>
      <w:r>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Pr>
          <w:rFonts w:ascii="Times New Roman" w:eastAsia="Times New Roman" w:hAnsi="Times New Roman"/>
          <w:color w:val="000000"/>
          <w:spacing w:val="2"/>
          <w:sz w:val="24"/>
          <w:szCs w:val="20"/>
          <w:shd w:val="clear" w:color="auto" w:fill="FFFFFF"/>
        </w:rPr>
        <w:instrText xml:space="preserve"> FORMCHECKBOX </w:instrText>
      </w:r>
      <w:r>
        <w:rPr>
          <w:rFonts w:ascii="Times New Roman" w:eastAsia="Times New Roman" w:hAnsi="Times New Roman"/>
          <w:color w:val="000000"/>
          <w:spacing w:val="2"/>
          <w:sz w:val="24"/>
          <w:szCs w:val="20"/>
          <w:shd w:val="clear" w:color="auto" w:fill="FFFFFF"/>
        </w:rPr>
      </w:r>
      <w:r>
        <w:rPr>
          <w:rFonts w:ascii="Times New Roman" w:eastAsia="Times New Roman" w:hAnsi="Times New Roman"/>
          <w:color w:val="000000"/>
          <w:spacing w:val="2"/>
          <w:sz w:val="24"/>
          <w:szCs w:val="20"/>
          <w:shd w:val="clear" w:color="auto" w:fill="FFFFFF"/>
        </w:rPr>
        <w:fldChar w:fldCharType="separate"/>
      </w:r>
      <w:r>
        <w:rPr>
          <w:rFonts w:ascii="Times New Roman" w:eastAsia="Times New Roman" w:hAnsi="Times New Roman"/>
          <w:color w:val="000000"/>
          <w:spacing w:val="2"/>
          <w:sz w:val="24"/>
          <w:szCs w:val="20"/>
          <w:shd w:val="clear" w:color="auto" w:fill="FFFFFF"/>
        </w:rPr>
        <w:fldChar w:fldCharType="end"/>
      </w:r>
      <w:r w:rsidR="008C6EDA" w:rsidRPr="008C6EDA">
        <w:rPr>
          <w:rFonts w:ascii="Times New Roman" w:eastAsia="Times New Roman" w:hAnsi="Times New Roman"/>
          <w:color w:val="000000"/>
          <w:spacing w:val="2"/>
          <w:sz w:val="24"/>
          <w:szCs w:val="20"/>
          <w:shd w:val="clear" w:color="auto" w:fill="FFFFFF"/>
        </w:rPr>
        <w:tab/>
      </w:r>
      <w:r w:rsidRPr="002E0B94">
        <w:rPr>
          <w:rFonts w:ascii="Times New Roman" w:eastAsia="Times New Roman" w:hAnsi="Times New Roman"/>
          <w:color w:val="000000"/>
          <w:spacing w:val="2"/>
          <w:sz w:val="20"/>
          <w:szCs w:val="20"/>
          <w:shd w:val="clear" w:color="auto" w:fill="FFFFFF"/>
        </w:rPr>
        <w:t>Amendment to Form SEF</w:t>
      </w:r>
      <w:r>
        <w:rPr>
          <w:rFonts w:ascii="Times New Roman" w:eastAsia="Times New Roman" w:hAnsi="Times New Roman"/>
          <w:color w:val="000000"/>
          <w:spacing w:val="2"/>
          <w:sz w:val="20"/>
          <w:szCs w:val="20"/>
          <w:shd w:val="clear" w:color="auto" w:fill="FFFFFF"/>
        </w:rPr>
        <w:tab/>
      </w:r>
      <w:r>
        <w:rPr>
          <w:rFonts w:ascii="Times New Roman" w:eastAsia="Times New Roman" w:hAnsi="Times New Roman"/>
          <w:color w:val="000000"/>
          <w:spacing w:val="2"/>
          <w:sz w:val="20"/>
          <w:szCs w:val="20"/>
          <w:shd w:val="clear" w:color="auto" w:fill="FFFFFF"/>
        </w:rPr>
        <w:tab/>
      </w:r>
      <w:r>
        <w:rPr>
          <w:rFonts w:ascii="Times New Roman" w:eastAsia="Times New Roman" w:hAnsi="Times New Roman"/>
          <w:color w:val="000000"/>
          <w:spacing w:val="2"/>
          <w:sz w:val="20"/>
          <w:szCs w:val="20"/>
          <w:shd w:val="clear" w:color="auto" w:fill="FFFFFF"/>
        </w:rPr>
        <w:tab/>
      </w:r>
      <w:r>
        <w:rPr>
          <w:rFonts w:ascii="Times New Roman" w:eastAsia="Times New Roman" w:hAnsi="Times New Roman"/>
          <w:color w:val="000000"/>
          <w:spacing w:val="2"/>
          <w:sz w:val="20"/>
          <w:szCs w:val="20"/>
          <w:shd w:val="clear" w:color="auto" w:fill="FFFFFF"/>
        </w:rPr>
        <w:tab/>
      </w:r>
      <w:r>
        <w:rPr>
          <w:rFonts w:ascii="Times New Roman" w:eastAsia="Times New Roman" w:hAnsi="Times New Roman"/>
          <w:color w:val="000000"/>
          <w:spacing w:val="2"/>
          <w:sz w:val="20"/>
          <w:szCs w:val="20"/>
          <w:shd w:val="clear" w:color="auto" w:fill="FFFFFF"/>
        </w:rPr>
        <w:tab/>
      </w:r>
      <w:r w:rsidRPr="008C6EDA">
        <w:rPr>
          <w:rFonts w:ascii="Times New Roman" w:hAnsi="Times New Roman"/>
          <w:color w:val="000000"/>
          <w:spacing w:val="2"/>
          <w:sz w:val="20"/>
          <w:szCs w:val="20"/>
        </w:rPr>
        <w:t>§</w:t>
      </w:r>
      <w:r>
        <w:rPr>
          <w:rFonts w:ascii="Times New Roman" w:hAnsi="Times New Roman"/>
          <w:color w:val="000000"/>
          <w:spacing w:val="2"/>
          <w:sz w:val="20"/>
          <w:szCs w:val="20"/>
        </w:rPr>
        <w:t xml:space="preserve"> 37.3(b)</w:t>
      </w:r>
    </w:p>
    <w:p w14:paraId="5C238846" w14:textId="2037D6DA" w:rsidR="008C6EDA" w:rsidRPr="008C6EDA" w:rsidRDefault="008C6EDA" w:rsidP="008C6EDA">
      <w:pPr>
        <w:tabs>
          <w:tab w:val="left" w:pos="360"/>
        </w:tabs>
        <w:spacing w:after="120" w:line="240" w:lineRule="auto"/>
        <w:ind w:left="720"/>
        <w:rPr>
          <w:rFonts w:ascii="Times New Roman" w:hAnsi="Times New Roman"/>
          <w:spacing w:val="2"/>
          <w:sz w:val="20"/>
          <w:szCs w:val="20"/>
        </w:rPr>
      </w:pPr>
      <w:r w:rsidRPr="008C6EDA">
        <w:rPr>
          <w:rFonts w:ascii="Times New Roman" w:hAnsi="Times New Roman"/>
          <w:b/>
          <w:spacing w:val="2"/>
          <w:sz w:val="20"/>
          <w:szCs w:val="20"/>
        </w:rPr>
        <w:t>Rule Numbers:</w:t>
      </w:r>
      <w:r w:rsidRPr="008C6EDA">
        <w:rPr>
          <w:rFonts w:ascii="Times New Roman" w:hAnsi="Times New Roman"/>
          <w:spacing w:val="2"/>
          <w:sz w:val="20"/>
          <w:szCs w:val="20"/>
        </w:rPr>
        <w:t xml:space="preserve">  </w:t>
      </w:r>
      <w:r w:rsidR="00A97862">
        <w:rPr>
          <w:rFonts w:ascii="Times New Roman" w:eastAsia="Times New Roman" w:hAnsi="Times New Roman"/>
          <w:color w:val="000000"/>
          <w:spacing w:val="2"/>
          <w:sz w:val="20"/>
          <w:u w:val="single"/>
          <w:shd w:val="clear" w:color="auto" w:fill="FFFFFF"/>
        </w:rPr>
        <w:fldChar w:fldCharType="begin">
          <w:ffData>
            <w:name w:val=""/>
            <w:enabled/>
            <w:calcOnExit w:val="0"/>
            <w:textInput>
              <w:default w:val="See filing. "/>
            </w:textInput>
          </w:ffData>
        </w:fldChar>
      </w:r>
      <w:r w:rsidR="00A97862">
        <w:rPr>
          <w:rFonts w:ascii="Times New Roman" w:eastAsia="Times New Roman" w:hAnsi="Times New Roman"/>
          <w:color w:val="000000"/>
          <w:spacing w:val="2"/>
          <w:sz w:val="20"/>
          <w:u w:val="single"/>
          <w:shd w:val="clear" w:color="auto" w:fill="FFFFFF"/>
        </w:rPr>
        <w:instrText xml:space="preserve"> FORMTEXT </w:instrText>
      </w:r>
      <w:r w:rsidR="00A97862">
        <w:rPr>
          <w:rFonts w:ascii="Times New Roman" w:eastAsia="Times New Roman" w:hAnsi="Times New Roman"/>
          <w:color w:val="000000"/>
          <w:spacing w:val="2"/>
          <w:sz w:val="20"/>
          <w:u w:val="single"/>
          <w:shd w:val="clear" w:color="auto" w:fill="FFFFFF"/>
        </w:rPr>
      </w:r>
      <w:r w:rsidR="00A97862">
        <w:rPr>
          <w:rFonts w:ascii="Times New Roman" w:eastAsia="Times New Roman" w:hAnsi="Times New Roman"/>
          <w:color w:val="000000"/>
          <w:spacing w:val="2"/>
          <w:sz w:val="20"/>
          <w:u w:val="single"/>
          <w:shd w:val="clear" w:color="auto" w:fill="FFFFFF"/>
        </w:rPr>
        <w:fldChar w:fldCharType="separate"/>
      </w:r>
      <w:r w:rsidR="00A97862">
        <w:rPr>
          <w:rFonts w:ascii="Times New Roman" w:eastAsia="Times New Roman" w:hAnsi="Times New Roman"/>
          <w:noProof/>
          <w:color w:val="000000"/>
          <w:spacing w:val="2"/>
          <w:sz w:val="20"/>
          <w:u w:val="single"/>
          <w:shd w:val="clear" w:color="auto" w:fill="FFFFFF"/>
        </w:rPr>
        <w:t xml:space="preserve">See filing. </w:t>
      </w:r>
      <w:r w:rsidR="00A97862">
        <w:rPr>
          <w:rFonts w:ascii="Times New Roman" w:eastAsia="Times New Roman" w:hAnsi="Times New Roman"/>
          <w:color w:val="000000"/>
          <w:spacing w:val="2"/>
          <w:sz w:val="20"/>
          <w:u w:val="single"/>
          <w:shd w:val="clear" w:color="auto" w:fill="FFFFFF"/>
        </w:rPr>
        <w:fldChar w:fldCharType="end"/>
      </w:r>
    </w:p>
    <w:p w14:paraId="5A2FDD17" w14:textId="77777777" w:rsidR="008C6EDA" w:rsidRPr="008C6EDA" w:rsidRDefault="008C6EDA" w:rsidP="008C6EDA">
      <w:pPr>
        <w:spacing w:after="60" w:line="240" w:lineRule="auto"/>
        <w:ind w:firstLine="720"/>
        <w:rPr>
          <w:rFonts w:ascii="Times New Roman" w:hAnsi="Times New Roman"/>
          <w:b/>
          <w:spacing w:val="2"/>
        </w:rPr>
      </w:pPr>
      <w:r w:rsidRPr="008C6EDA">
        <w:rPr>
          <w:rFonts w:ascii="Times New Roman" w:hAnsi="Times New Roman"/>
          <w:b/>
          <w:spacing w:val="2"/>
        </w:rPr>
        <w:t xml:space="preserve">New Product </w:t>
      </w:r>
      <w:r w:rsidRPr="008C6EDA">
        <w:rPr>
          <w:rFonts w:ascii="Times New Roman" w:hAnsi="Times New Roman"/>
          <w:b/>
          <w:spacing w:val="2"/>
        </w:rPr>
        <w:tab/>
      </w:r>
      <w:r w:rsidRPr="008C6EDA">
        <w:rPr>
          <w:rFonts w:ascii="Times New Roman" w:hAnsi="Times New Roman"/>
          <w:b/>
          <w:spacing w:val="2"/>
        </w:rPr>
        <w:tab/>
      </w:r>
      <w:r w:rsidRPr="008C6EDA">
        <w:rPr>
          <w:rFonts w:ascii="Times New Roman" w:hAnsi="Times New Roman"/>
          <w:b/>
          <w:spacing w:val="2"/>
        </w:rPr>
        <w:tab/>
      </w:r>
      <w:r w:rsidRPr="008C6EDA">
        <w:rPr>
          <w:rFonts w:ascii="Times New Roman" w:hAnsi="Times New Roman"/>
          <w:b/>
          <w:spacing w:val="2"/>
        </w:rPr>
        <w:tab/>
        <w:t>Please note only ONE</w:t>
      </w:r>
      <w:r>
        <w:rPr>
          <w:rFonts w:ascii="Times New Roman" w:hAnsi="Times New Roman"/>
          <w:b/>
          <w:spacing w:val="2"/>
        </w:rPr>
        <w:t xml:space="preserve"> product </w:t>
      </w:r>
      <w:r w:rsidRPr="008C6EDA">
        <w:rPr>
          <w:rFonts w:ascii="Times New Roman" w:hAnsi="Times New Roman"/>
          <w:b/>
          <w:spacing w:val="2"/>
        </w:rPr>
        <w:t>per Submission.</w:t>
      </w:r>
    </w:p>
    <w:p w14:paraId="79419843"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Certification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 xml:space="preserve">40.2(a) </w:t>
      </w:r>
    </w:p>
    <w:p w14:paraId="647B4B88"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 xml:space="preserve">Certification </w:t>
      </w:r>
      <w:r w:rsidRPr="008C6EDA">
        <w:rPr>
          <w:rFonts w:ascii="Times New Roman" w:hAnsi="Times New Roman"/>
          <w:noProof/>
          <w:spacing w:val="2"/>
          <w:sz w:val="20"/>
          <w:szCs w:val="20"/>
        </w:rPr>
        <w:t>Security Futures</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41.23(a)</w:t>
      </w:r>
    </w:p>
    <w:p w14:paraId="690D90B9" w14:textId="77777777" w:rsidR="008C6EDA" w:rsidRPr="008C6EDA" w:rsidRDefault="008C6EDA" w:rsidP="008C6EDA">
      <w:pPr>
        <w:spacing w:after="0" w:line="240" w:lineRule="auto"/>
        <w:ind w:left="720"/>
        <w:rPr>
          <w:rFonts w:ascii="Times New Roman" w:hAnsi="Times New Roman"/>
          <w:b/>
          <w:spacing w:val="2"/>
          <w:sz w:val="20"/>
          <w:szCs w:val="20"/>
          <w:u w:val="single"/>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Certification</w:t>
      </w:r>
      <w:r w:rsidRPr="008C6EDA">
        <w:rPr>
          <w:rFonts w:ascii="Times New Roman" w:hAnsi="Times New Roman"/>
          <w:b/>
          <w:noProof/>
          <w:spacing w:val="2"/>
          <w:sz w:val="20"/>
          <w:szCs w:val="20"/>
        </w:rPr>
        <w:t xml:space="preserve"> </w:t>
      </w:r>
      <w:r w:rsidRPr="008C6EDA">
        <w:rPr>
          <w:rFonts w:ascii="Times New Roman" w:hAnsi="Times New Roman"/>
          <w:spacing w:val="2"/>
          <w:sz w:val="20"/>
          <w:szCs w:val="20"/>
        </w:rPr>
        <w:t>Swap Class</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40.2(d)</w:t>
      </w:r>
    </w:p>
    <w:p w14:paraId="4875EDC3"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Approval</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40.3(a)</w:t>
      </w:r>
    </w:p>
    <w:p w14:paraId="7E4CD3A8" w14:textId="1E20F7E8"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Novel Derivative Product Notification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40.12(a)</w:t>
      </w:r>
    </w:p>
    <w:p w14:paraId="6460D7D4"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Swap Submission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39.5</w:t>
      </w:r>
    </w:p>
    <w:p w14:paraId="7244CD55" w14:textId="77777777" w:rsidR="008C6EDA" w:rsidRPr="008C6EDA" w:rsidRDefault="008C6EDA" w:rsidP="008C6EDA">
      <w:pPr>
        <w:spacing w:after="60" w:line="240" w:lineRule="auto"/>
        <w:ind w:firstLine="720"/>
        <w:rPr>
          <w:rFonts w:ascii="Times New Roman" w:hAnsi="Times New Roman"/>
          <w:spacing w:val="2"/>
          <w:sz w:val="20"/>
          <w:szCs w:val="20"/>
        </w:rPr>
      </w:pPr>
      <w:r w:rsidRPr="008C6EDA">
        <w:rPr>
          <w:rFonts w:ascii="Times New Roman" w:hAnsi="Times New Roman"/>
          <w:b/>
          <w:spacing w:val="2"/>
          <w:sz w:val="20"/>
          <w:szCs w:val="20"/>
          <w:lang w:eastAsia="ja-JP"/>
        </w:rPr>
        <w:t>Official Product Name</w:t>
      </w:r>
      <w:r w:rsidRPr="008C6EDA">
        <w:rPr>
          <w:rFonts w:ascii="Times New Roman" w:hAnsi="Times New Roman"/>
          <w:spacing w:val="2"/>
          <w:sz w:val="20"/>
          <w:szCs w:val="20"/>
        </w:rPr>
        <w:t xml:space="preserve">:  </w:t>
      </w:r>
      <w:r w:rsidRPr="008C6EDA">
        <w:rPr>
          <w:rFonts w:ascii="Times New Roman" w:eastAsia="Times New Roman" w:hAnsi="Times New Roman"/>
          <w:color w:val="000000"/>
          <w:spacing w:val="2"/>
          <w:sz w:val="28"/>
          <w:szCs w:val="20"/>
          <w:shd w:val="clear" w:color="auto" w:fill="FFFFFF"/>
        </w:rPr>
        <w:fldChar w:fldCharType="begin">
          <w:ffData>
            <w:name w:val="Text1"/>
            <w:enabled/>
            <w:calcOnExit w:val="0"/>
            <w:textInput/>
          </w:ffData>
        </w:fldChar>
      </w:r>
      <w:r w:rsidRPr="008C6EDA">
        <w:rPr>
          <w:rFonts w:ascii="Times New Roman" w:eastAsia="Times New Roman" w:hAnsi="Times New Roman"/>
          <w:color w:val="000000"/>
          <w:spacing w:val="2"/>
          <w:sz w:val="28"/>
          <w:szCs w:val="20"/>
          <w:shd w:val="clear" w:color="auto" w:fill="FFFFFF"/>
        </w:rPr>
        <w:instrText xml:space="preserve"> FORMTEXT </w:instrText>
      </w:r>
      <w:r w:rsidRPr="008C6EDA">
        <w:rPr>
          <w:rFonts w:ascii="Times New Roman" w:eastAsia="Times New Roman" w:hAnsi="Times New Roman"/>
          <w:color w:val="000000"/>
          <w:spacing w:val="2"/>
          <w:sz w:val="28"/>
          <w:szCs w:val="20"/>
          <w:shd w:val="clear" w:color="auto" w:fill="FFFFFF"/>
        </w:rPr>
      </w:r>
      <w:r w:rsidRPr="008C6EDA">
        <w:rPr>
          <w:rFonts w:ascii="Times New Roman" w:eastAsia="Times New Roman" w:hAnsi="Times New Roman"/>
          <w:color w:val="000000"/>
          <w:spacing w:val="2"/>
          <w:sz w:val="28"/>
          <w:szCs w:val="20"/>
          <w:shd w:val="clear" w:color="auto" w:fill="FFFFFF"/>
        </w:rPr>
        <w:fldChar w:fldCharType="separate"/>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color w:val="000000"/>
          <w:spacing w:val="2"/>
          <w:sz w:val="28"/>
          <w:szCs w:val="20"/>
          <w:shd w:val="clear" w:color="auto" w:fill="FFFFFF"/>
        </w:rPr>
        <w:fldChar w:fldCharType="end"/>
      </w:r>
    </w:p>
    <w:p w14:paraId="5486369B" w14:textId="77777777" w:rsidR="008C6EDA" w:rsidRPr="00C6037F" w:rsidRDefault="008C6EDA" w:rsidP="008C6EDA">
      <w:pPr>
        <w:spacing w:after="60" w:line="240" w:lineRule="auto"/>
        <w:ind w:firstLine="720"/>
        <w:rPr>
          <w:rFonts w:ascii="Times New Roman" w:hAnsi="Times New Roman"/>
          <w:b/>
          <w:spacing w:val="2"/>
        </w:rPr>
      </w:pPr>
      <w:r w:rsidRPr="00C6037F">
        <w:rPr>
          <w:rFonts w:ascii="Times New Roman" w:hAnsi="Times New Roman"/>
          <w:b/>
          <w:spacing w:val="2"/>
        </w:rPr>
        <w:t>Product Terms and Conditions (product related Rules and Rule Amendments)</w:t>
      </w:r>
    </w:p>
    <w:p w14:paraId="3BE9B48C" w14:textId="72DDB43F" w:rsidR="008C6EDA" w:rsidRPr="00C6037F" w:rsidRDefault="002E0B94" w:rsidP="008C6EDA">
      <w:pPr>
        <w:spacing w:after="0" w:line="240" w:lineRule="auto"/>
        <w:ind w:left="720"/>
        <w:rPr>
          <w:rFonts w:ascii="Times New Roman" w:hAnsi="Times New Roman"/>
          <w:spacing w:val="2"/>
          <w:sz w:val="20"/>
          <w:szCs w:val="20"/>
        </w:rPr>
      </w:pPr>
      <w:r>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Pr>
          <w:rFonts w:ascii="Times New Roman" w:eastAsia="Times New Roman" w:hAnsi="Times New Roman"/>
          <w:color w:val="000000"/>
          <w:spacing w:val="2"/>
          <w:sz w:val="24"/>
          <w:szCs w:val="20"/>
          <w:shd w:val="clear" w:color="auto" w:fill="FFFFFF"/>
        </w:rPr>
        <w:instrText xml:space="preserve"> FORMCHECKBOX </w:instrText>
      </w:r>
      <w:r>
        <w:rPr>
          <w:rFonts w:ascii="Times New Roman" w:eastAsia="Times New Roman" w:hAnsi="Times New Roman"/>
          <w:color w:val="000000"/>
          <w:spacing w:val="2"/>
          <w:sz w:val="24"/>
          <w:szCs w:val="20"/>
          <w:shd w:val="clear" w:color="auto" w:fill="FFFFFF"/>
        </w:rPr>
      </w:r>
      <w:r>
        <w:rPr>
          <w:rFonts w:ascii="Times New Roman" w:eastAsia="Times New Roman" w:hAnsi="Times New Roman"/>
          <w:color w:val="000000"/>
          <w:spacing w:val="2"/>
          <w:sz w:val="24"/>
          <w:szCs w:val="20"/>
          <w:shd w:val="clear" w:color="auto" w:fill="FFFFFF"/>
        </w:rPr>
        <w:fldChar w:fldCharType="separate"/>
      </w:r>
      <w:r>
        <w:rPr>
          <w:rFonts w:ascii="Times New Roman" w:eastAsia="Times New Roman" w:hAnsi="Times New Roman"/>
          <w:color w:val="000000"/>
          <w:spacing w:val="2"/>
          <w:sz w:val="24"/>
          <w:szCs w:val="20"/>
          <w:shd w:val="clear" w:color="auto" w:fill="FFFFFF"/>
        </w:rPr>
        <w:fldChar w:fldCharType="end"/>
      </w:r>
      <w:r w:rsidR="008C6EDA" w:rsidRPr="00C6037F">
        <w:rPr>
          <w:rFonts w:ascii="Times New Roman" w:eastAsia="Times New Roman" w:hAnsi="Times New Roman"/>
          <w:color w:val="000000"/>
          <w:spacing w:val="2"/>
          <w:sz w:val="24"/>
          <w:szCs w:val="20"/>
          <w:shd w:val="clear" w:color="auto" w:fill="FFFFFF"/>
        </w:rPr>
        <w:tab/>
      </w:r>
      <w:r w:rsidR="008C6EDA" w:rsidRPr="00C6037F">
        <w:rPr>
          <w:rFonts w:ascii="Times New Roman" w:hAnsi="Times New Roman"/>
          <w:spacing w:val="2"/>
          <w:sz w:val="20"/>
          <w:szCs w:val="20"/>
        </w:rPr>
        <w:t>Certification</w:t>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color w:val="000000"/>
          <w:spacing w:val="2"/>
          <w:sz w:val="20"/>
          <w:szCs w:val="20"/>
        </w:rPr>
        <w:t xml:space="preserve">§ </w:t>
      </w:r>
      <w:r w:rsidR="008C6EDA" w:rsidRPr="00C6037F">
        <w:rPr>
          <w:rFonts w:ascii="Times New Roman" w:hAnsi="Times New Roman"/>
          <w:spacing w:val="2"/>
          <w:sz w:val="20"/>
          <w:szCs w:val="20"/>
        </w:rPr>
        <w:t xml:space="preserve">40.6(a) </w:t>
      </w:r>
    </w:p>
    <w:p w14:paraId="0FC02957"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Certification</w:t>
      </w:r>
      <w:r w:rsidRPr="00C6037F">
        <w:rPr>
          <w:rFonts w:ascii="Times New Roman" w:hAnsi="Times New Roman"/>
          <w:b/>
          <w:noProof/>
          <w:spacing w:val="2"/>
          <w:sz w:val="20"/>
          <w:szCs w:val="20"/>
        </w:rPr>
        <w:t xml:space="preserve"> </w:t>
      </w:r>
      <w:r w:rsidRPr="00C6037F">
        <w:rPr>
          <w:rFonts w:ascii="Times New Roman" w:hAnsi="Times New Roman"/>
          <w:spacing w:val="2"/>
          <w:sz w:val="20"/>
          <w:szCs w:val="20"/>
        </w:rPr>
        <w:t>Made Available to Trade Determination</w:t>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40.6(a)</w:t>
      </w:r>
    </w:p>
    <w:p w14:paraId="1BC76CD5" w14:textId="669212AF"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Delisting (No Open Interest)</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 xml:space="preserve">40.6(a) </w:t>
      </w:r>
    </w:p>
    <w:p w14:paraId="4CA6F587"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 xml:space="preserve">Approval  </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40.5(a)</w:t>
      </w:r>
    </w:p>
    <w:p w14:paraId="3C262731"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Approval</w:t>
      </w:r>
      <w:r w:rsidRPr="00C6037F">
        <w:rPr>
          <w:rFonts w:ascii="Times New Roman" w:hAnsi="Times New Roman"/>
          <w:b/>
          <w:noProof/>
          <w:spacing w:val="2"/>
          <w:sz w:val="20"/>
          <w:szCs w:val="20"/>
        </w:rPr>
        <w:t xml:space="preserve"> </w:t>
      </w:r>
      <w:r w:rsidRPr="00C6037F">
        <w:rPr>
          <w:rFonts w:ascii="Times New Roman" w:hAnsi="Times New Roman"/>
          <w:spacing w:val="2"/>
          <w:sz w:val="20"/>
          <w:szCs w:val="20"/>
        </w:rPr>
        <w:t>Made Available to Trade Determination</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40.5(a)</w:t>
      </w:r>
    </w:p>
    <w:p w14:paraId="6D0B220F" w14:textId="68739022"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Approval Amendments to enumerated agricultural products</w:t>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 xml:space="preserve">40.4(a), </w:t>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40.5(a)</w:t>
      </w:r>
    </w:p>
    <w:p w14:paraId="5F2697DA"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“Non-Material Agricultural Rule Change”</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40.4(b)(5)</w:t>
      </w:r>
    </w:p>
    <w:p w14:paraId="669C7084" w14:textId="77777777" w:rsidR="008C6EDA" w:rsidRPr="00C6037F" w:rsidRDefault="008C6EDA" w:rsidP="008C6EDA">
      <w:pPr>
        <w:spacing w:after="6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Notification</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40.6(d)</w:t>
      </w:r>
    </w:p>
    <w:p w14:paraId="1A956E7E" w14:textId="77777777" w:rsidR="008C6EDA" w:rsidRPr="00C6037F" w:rsidRDefault="008C6EDA" w:rsidP="008C6EDA">
      <w:pPr>
        <w:spacing w:after="120" w:line="240" w:lineRule="auto"/>
        <w:ind w:left="720"/>
        <w:rPr>
          <w:rFonts w:ascii="Times New Roman" w:eastAsia="Times New Roman" w:hAnsi="Times New Roman"/>
          <w:b/>
          <w:color w:val="000000"/>
          <w:spacing w:val="2"/>
          <w:u w:val="single"/>
          <w:shd w:val="clear" w:color="auto" w:fill="FFFFFF"/>
        </w:rPr>
      </w:pPr>
      <w:r w:rsidRPr="00C6037F">
        <w:rPr>
          <w:rFonts w:ascii="Times New Roman" w:hAnsi="Times New Roman"/>
          <w:b/>
          <w:spacing w:val="2"/>
          <w:sz w:val="20"/>
          <w:szCs w:val="20"/>
          <w:lang w:eastAsia="ja-JP"/>
        </w:rPr>
        <w:t>Official Name(s) of Product(s) Affected</w:t>
      </w:r>
      <w:r w:rsidRPr="00C6037F">
        <w:rPr>
          <w:rFonts w:ascii="Times New Roman" w:hAnsi="Times New Roman"/>
          <w:spacing w:val="2"/>
          <w:sz w:val="20"/>
          <w:szCs w:val="20"/>
        </w:rPr>
        <w:t xml:space="preserve">:   </w:t>
      </w:r>
    </w:p>
    <w:p w14:paraId="71BC98E2" w14:textId="77777777" w:rsidR="008C6EDA" w:rsidRPr="008C6EDA" w:rsidRDefault="008C6EDA" w:rsidP="008C6EDA">
      <w:pPr>
        <w:spacing w:after="0" w:line="240" w:lineRule="auto"/>
        <w:ind w:left="720"/>
        <w:rPr>
          <w:rFonts w:ascii="Times New Roman" w:eastAsia="Times New Roman" w:hAnsi="Times New Roman"/>
          <w:color w:val="000000"/>
          <w:spacing w:val="2"/>
          <w:sz w:val="28"/>
          <w:szCs w:val="20"/>
          <w:shd w:val="clear" w:color="auto" w:fill="FFFFFF"/>
        </w:rPr>
        <w:sectPr w:rsidR="008C6EDA" w:rsidRPr="008C6EDA" w:rsidSect="00AA2C9B">
          <w:headerReference w:type="default" r:id="rId11"/>
          <w:footerReference w:type="default" r:id="rId12"/>
          <w:pgSz w:w="12240" w:h="15840" w:code="1"/>
          <w:pgMar w:top="450" w:right="1440" w:bottom="720" w:left="1440" w:header="270" w:footer="90" w:gutter="0"/>
          <w:pgBorders w:offsetFrom="page">
            <w:top w:val="triple" w:sz="4" w:space="24" w:color="auto"/>
            <w:left w:val="triple" w:sz="4" w:space="24" w:color="auto"/>
            <w:bottom w:val="triple" w:sz="4" w:space="24" w:color="auto"/>
            <w:right w:val="triple" w:sz="4" w:space="24" w:color="auto"/>
          </w:pgBorders>
          <w:cols w:space="720"/>
          <w:titlePg/>
          <w:docGrid w:linePitch="360"/>
        </w:sectPr>
      </w:pPr>
      <w:r w:rsidRPr="00C6037F">
        <w:rPr>
          <w:rFonts w:ascii="Times New Roman" w:hAnsi="Times New Roman"/>
          <w:b/>
          <w:spacing w:val="2"/>
          <w:sz w:val="20"/>
          <w:szCs w:val="20"/>
        </w:rPr>
        <w:t>Rule Numbers:</w:t>
      </w:r>
      <w:r w:rsidRPr="00C6037F">
        <w:rPr>
          <w:rFonts w:ascii="Times New Roman" w:hAnsi="Times New Roman"/>
          <w:spacing w:val="2"/>
          <w:sz w:val="20"/>
          <w:szCs w:val="20"/>
        </w:rPr>
        <w:t xml:space="preserve">  </w:t>
      </w:r>
      <w:r w:rsidRPr="008C6EDA">
        <w:rPr>
          <w:rFonts w:ascii="Times New Roman" w:hAnsi="Times New Roman"/>
          <w:spacing w:val="2"/>
        </w:rPr>
        <w:tab/>
      </w:r>
    </w:p>
    <w:p w14:paraId="6B421062" w14:textId="77777777" w:rsidR="008C6EDA" w:rsidRPr="008C6EDA" w:rsidRDefault="008C6EDA" w:rsidP="008C6EDA">
      <w:pPr>
        <w:tabs>
          <w:tab w:val="left" w:pos="-720"/>
          <w:tab w:val="left" w:pos="0"/>
        </w:tabs>
        <w:suppressAutoHyphens/>
        <w:spacing w:after="0" w:line="240" w:lineRule="auto"/>
        <w:ind w:left="720" w:hanging="720"/>
        <w:jc w:val="both"/>
        <w:rPr>
          <w:rFonts w:ascii="Arial" w:eastAsia="Times New Roman" w:hAnsi="Arial" w:cs="Arial"/>
          <w:sz w:val="24"/>
          <w:szCs w:val="20"/>
        </w:rPr>
      </w:pPr>
    </w:p>
    <w:p w14:paraId="1A6C7EEF" w14:textId="13D1B7E6" w:rsidR="00D201F7" w:rsidRDefault="00D567FF" w:rsidP="008C6EDA">
      <w:pPr>
        <w:spacing w:after="0" w:line="240" w:lineRule="auto"/>
        <w:jc w:val="right"/>
        <w:rPr>
          <w:rFonts w:ascii="Times New Roman" w:eastAsia="Times New Roman" w:hAnsi="Times New Roman"/>
          <w:b/>
          <w:color w:val="3366FF"/>
          <w:sz w:val="14"/>
          <w:szCs w:val="14"/>
        </w:rPr>
      </w:pPr>
      <w:r>
        <w:rPr>
          <w:rFonts w:ascii="Times New Roman" w:eastAsia="Times New Roman" w:hAnsi="Times New Roman"/>
          <w:b/>
          <w:color w:val="3366FF"/>
          <w:sz w:val="14"/>
          <w:szCs w:val="14"/>
        </w:rPr>
        <w:t xml:space="preserve"> </w:t>
      </w:r>
      <w:r w:rsidR="001D7D17">
        <w:rPr>
          <w:rFonts w:ascii="Times New Roman" w:eastAsia="Times New Roman" w:hAnsi="Times New Roman"/>
          <w:b/>
          <w:color w:val="3366FF"/>
          <w:sz w:val="14"/>
          <w:szCs w:val="14"/>
        </w:rPr>
        <w:t>Irina Bauer</w:t>
      </w:r>
    </w:p>
    <w:p w14:paraId="27E1152B" w14:textId="2301B6E2" w:rsidR="00D201F7" w:rsidRDefault="00D567FF" w:rsidP="008C6EDA">
      <w:pPr>
        <w:spacing w:after="0" w:line="240" w:lineRule="auto"/>
        <w:jc w:val="right"/>
        <w:rPr>
          <w:rFonts w:ascii="Times New Roman" w:eastAsia="Times New Roman" w:hAnsi="Times New Roman"/>
          <w:color w:val="3366FF"/>
          <w:sz w:val="14"/>
          <w:szCs w:val="14"/>
        </w:rPr>
      </w:pPr>
      <w:r>
        <w:rPr>
          <w:rFonts w:ascii="Times New Roman" w:eastAsia="Times New Roman" w:hAnsi="Times New Roman"/>
          <w:color w:val="3366FF"/>
          <w:sz w:val="14"/>
          <w:szCs w:val="14"/>
        </w:rPr>
        <w:t xml:space="preserve">Chief </w:t>
      </w:r>
      <w:r w:rsidR="00B718E3">
        <w:rPr>
          <w:rFonts w:ascii="Times New Roman" w:eastAsia="Times New Roman" w:hAnsi="Times New Roman"/>
          <w:color w:val="3366FF"/>
          <w:sz w:val="14"/>
          <w:szCs w:val="14"/>
        </w:rPr>
        <w:t>Compliance</w:t>
      </w:r>
      <w:r>
        <w:rPr>
          <w:rFonts w:ascii="Times New Roman" w:eastAsia="Times New Roman" w:hAnsi="Times New Roman"/>
          <w:color w:val="3366FF"/>
          <w:sz w:val="14"/>
          <w:szCs w:val="14"/>
        </w:rPr>
        <w:t xml:space="preserve"> </w:t>
      </w:r>
      <w:r w:rsidR="00B718E3">
        <w:rPr>
          <w:rFonts w:ascii="Times New Roman" w:eastAsia="Times New Roman" w:hAnsi="Times New Roman"/>
          <w:color w:val="3366FF"/>
          <w:sz w:val="14"/>
          <w:szCs w:val="14"/>
        </w:rPr>
        <w:t>Officer</w:t>
      </w:r>
    </w:p>
    <w:p w14:paraId="6BA5DA44" w14:textId="77777777" w:rsidR="00156410" w:rsidRDefault="00156410" w:rsidP="008C6EDA">
      <w:pPr>
        <w:tabs>
          <w:tab w:val="left" w:pos="-720"/>
        </w:tabs>
        <w:suppressAutoHyphens/>
        <w:spacing w:after="0" w:line="240" w:lineRule="auto"/>
        <w:rPr>
          <w:rFonts w:ascii="Arial" w:eastAsia="Times New Roman" w:hAnsi="Arial" w:cs="Arial"/>
          <w:sz w:val="20"/>
          <w:szCs w:val="20"/>
        </w:rPr>
      </w:pPr>
    </w:p>
    <w:p w14:paraId="54B34D8D" w14:textId="5466B096" w:rsidR="008C6EDA" w:rsidRPr="00BB6534" w:rsidRDefault="001D7D17" w:rsidP="008C6EDA">
      <w:pPr>
        <w:tabs>
          <w:tab w:val="left" w:pos="-720"/>
        </w:tabs>
        <w:suppressAutoHyphens/>
        <w:spacing w:after="0" w:line="240" w:lineRule="auto"/>
        <w:rPr>
          <w:rFonts w:ascii="Arial" w:eastAsia="Times New Roman" w:hAnsi="Arial" w:cs="Arial"/>
          <w:sz w:val="20"/>
          <w:szCs w:val="18"/>
        </w:rPr>
      </w:pPr>
      <w:r>
        <w:rPr>
          <w:rFonts w:ascii="Arial" w:eastAsia="Times New Roman" w:hAnsi="Arial" w:cs="Arial"/>
          <w:sz w:val="20"/>
          <w:szCs w:val="18"/>
        </w:rPr>
        <w:t xml:space="preserve">November </w:t>
      </w:r>
      <w:r w:rsidR="00BB3622">
        <w:rPr>
          <w:rFonts w:ascii="Arial" w:eastAsia="Times New Roman" w:hAnsi="Arial" w:cs="Arial"/>
          <w:sz w:val="20"/>
          <w:szCs w:val="18"/>
        </w:rPr>
        <w:t>1</w:t>
      </w:r>
      <w:r w:rsidR="002E0B94">
        <w:rPr>
          <w:rFonts w:ascii="Arial" w:eastAsia="Times New Roman" w:hAnsi="Arial" w:cs="Arial"/>
          <w:sz w:val="20"/>
          <w:szCs w:val="18"/>
        </w:rPr>
        <w:t>9</w:t>
      </w:r>
      <w:r w:rsidR="00056D33">
        <w:rPr>
          <w:rFonts w:ascii="Arial" w:eastAsia="Times New Roman" w:hAnsi="Arial" w:cs="Arial"/>
          <w:sz w:val="20"/>
          <w:szCs w:val="18"/>
        </w:rPr>
        <w:t>, 2025</w:t>
      </w:r>
    </w:p>
    <w:p w14:paraId="7DB2F4F5" w14:textId="77777777" w:rsidR="008C6EDA" w:rsidRPr="00BB6534" w:rsidRDefault="008C6EDA" w:rsidP="008C6EDA">
      <w:pPr>
        <w:tabs>
          <w:tab w:val="left" w:pos="-720"/>
        </w:tabs>
        <w:suppressAutoHyphens/>
        <w:spacing w:before="240" w:after="0" w:line="240" w:lineRule="auto"/>
        <w:outlineLvl w:val="0"/>
        <w:rPr>
          <w:rFonts w:ascii="Arial" w:eastAsia="Times New Roman" w:hAnsi="Arial" w:cs="Arial"/>
          <w:b/>
          <w:caps/>
          <w:sz w:val="20"/>
          <w:szCs w:val="18"/>
          <w:u w:val="single"/>
        </w:rPr>
      </w:pPr>
      <w:r w:rsidRPr="00BB6534">
        <w:rPr>
          <w:rFonts w:ascii="Arial" w:eastAsia="Times New Roman" w:hAnsi="Arial" w:cs="Arial"/>
          <w:b/>
          <w:caps/>
          <w:sz w:val="20"/>
          <w:szCs w:val="18"/>
          <w:u w:val="single"/>
        </w:rPr>
        <w:t>Via ELECTRONIC PORTAL</w:t>
      </w:r>
    </w:p>
    <w:p w14:paraId="556C59EE" w14:textId="77777777" w:rsidR="003722C5" w:rsidRPr="00BB6534" w:rsidRDefault="003722C5" w:rsidP="003722C5">
      <w:pPr>
        <w:tabs>
          <w:tab w:val="left" w:pos="-720"/>
        </w:tabs>
        <w:suppressAutoHyphens/>
        <w:spacing w:after="0" w:line="240" w:lineRule="auto"/>
        <w:outlineLvl w:val="0"/>
        <w:rPr>
          <w:rFonts w:ascii="Arial" w:eastAsia="Times New Roman" w:hAnsi="Arial" w:cs="Arial"/>
          <w:sz w:val="20"/>
          <w:szCs w:val="18"/>
        </w:rPr>
      </w:pPr>
    </w:p>
    <w:p w14:paraId="3AD23BEE" w14:textId="050E86D8" w:rsidR="009E7ED0" w:rsidRPr="00BB6534" w:rsidRDefault="009E7ED0" w:rsidP="009E7ED0">
      <w:pPr>
        <w:spacing w:after="0" w:line="240" w:lineRule="auto"/>
        <w:jc w:val="both"/>
        <w:rPr>
          <w:rFonts w:ascii="Arial" w:eastAsia="Times New Roman" w:hAnsi="Arial" w:cs="Arial"/>
          <w:sz w:val="20"/>
          <w:szCs w:val="20"/>
          <w:lang w:eastAsia="zh-HK"/>
        </w:rPr>
      </w:pPr>
      <w:bookmarkStart w:id="0" w:name="_Hlk43123881"/>
      <w:r w:rsidRPr="00BB6534">
        <w:rPr>
          <w:rFonts w:ascii="Arial" w:eastAsia="Times New Roman" w:hAnsi="Arial" w:cs="Arial"/>
          <w:sz w:val="20"/>
          <w:szCs w:val="20"/>
          <w:lang w:eastAsia="zh-HK"/>
        </w:rPr>
        <w:t>Mr. Christopher J. Kirkpatrick</w:t>
      </w:r>
    </w:p>
    <w:p w14:paraId="2E51E9A3" w14:textId="77777777" w:rsidR="009E7ED0" w:rsidRPr="00BB6534" w:rsidRDefault="009E7ED0" w:rsidP="009E7ED0">
      <w:pPr>
        <w:spacing w:after="0" w:line="240" w:lineRule="auto"/>
        <w:jc w:val="both"/>
        <w:rPr>
          <w:rFonts w:ascii="Arial" w:eastAsia="Times New Roman" w:hAnsi="Arial" w:cs="Arial"/>
          <w:sz w:val="20"/>
          <w:szCs w:val="20"/>
          <w:lang w:eastAsia="zh-HK"/>
        </w:rPr>
      </w:pPr>
      <w:r w:rsidRPr="00BB6534">
        <w:rPr>
          <w:rFonts w:ascii="Arial" w:eastAsia="Times New Roman" w:hAnsi="Arial" w:cs="Arial"/>
          <w:sz w:val="20"/>
          <w:szCs w:val="20"/>
          <w:lang w:eastAsia="zh-HK"/>
        </w:rPr>
        <w:t>Office of the Secretariat</w:t>
      </w:r>
    </w:p>
    <w:bookmarkEnd w:id="0"/>
    <w:p w14:paraId="75B6EBF7" w14:textId="77777777" w:rsidR="003722C5" w:rsidRPr="00BB6534" w:rsidRDefault="003722C5" w:rsidP="003722C5">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Commodity Futures Trading Commission</w:t>
      </w:r>
    </w:p>
    <w:p w14:paraId="05876B1B" w14:textId="77777777" w:rsidR="003722C5" w:rsidRPr="00BB6534" w:rsidRDefault="003722C5" w:rsidP="003722C5">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Three Lafayette Centre</w:t>
      </w:r>
    </w:p>
    <w:p w14:paraId="37248E67" w14:textId="77777777" w:rsidR="003722C5" w:rsidRPr="00BB6534" w:rsidRDefault="003722C5" w:rsidP="003722C5">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1155 21st Street, N.W.</w:t>
      </w:r>
    </w:p>
    <w:p w14:paraId="5D98085E" w14:textId="04345E42" w:rsidR="00F639FF" w:rsidRPr="00BB6534" w:rsidRDefault="003722C5" w:rsidP="00722E47">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Washington, D.C.  20581</w:t>
      </w:r>
    </w:p>
    <w:p w14:paraId="2E2E7887" w14:textId="77777777" w:rsidR="0034611E" w:rsidRPr="00BB6534" w:rsidRDefault="0034611E" w:rsidP="003722C5">
      <w:pPr>
        <w:spacing w:after="0" w:line="240" w:lineRule="auto"/>
        <w:ind w:left="2160" w:hanging="720"/>
        <w:jc w:val="both"/>
        <w:rPr>
          <w:rFonts w:ascii="Arial" w:eastAsia="Times New Roman" w:hAnsi="Arial" w:cs="Arial"/>
          <w:b/>
          <w:sz w:val="20"/>
          <w:szCs w:val="18"/>
        </w:rPr>
      </w:pPr>
    </w:p>
    <w:p w14:paraId="0A97A516" w14:textId="0CF58078" w:rsidR="001714BA" w:rsidRPr="00BB6534" w:rsidRDefault="003722C5" w:rsidP="001714BA">
      <w:pPr>
        <w:spacing w:after="0" w:line="240" w:lineRule="auto"/>
        <w:ind w:left="2160" w:hanging="720"/>
        <w:jc w:val="both"/>
        <w:rPr>
          <w:rFonts w:ascii="Arial" w:eastAsia="Times New Roman" w:hAnsi="Arial" w:cs="Arial"/>
          <w:b/>
          <w:sz w:val="20"/>
          <w:szCs w:val="18"/>
        </w:rPr>
      </w:pPr>
      <w:r w:rsidRPr="00BB6534">
        <w:rPr>
          <w:rFonts w:ascii="Arial" w:eastAsia="Times New Roman" w:hAnsi="Arial" w:cs="Arial"/>
          <w:b/>
          <w:sz w:val="20"/>
          <w:szCs w:val="18"/>
        </w:rPr>
        <w:t>R</w:t>
      </w:r>
      <w:r w:rsidR="003D10D4" w:rsidRPr="00BB6534">
        <w:rPr>
          <w:rFonts w:ascii="Arial" w:eastAsia="Times New Roman" w:hAnsi="Arial" w:cs="Arial"/>
          <w:b/>
          <w:sz w:val="20"/>
          <w:szCs w:val="18"/>
        </w:rPr>
        <w:t>e</w:t>
      </w:r>
      <w:r w:rsidRPr="00BB6534">
        <w:rPr>
          <w:rFonts w:ascii="Arial" w:eastAsia="Times New Roman" w:hAnsi="Arial" w:cs="Arial"/>
          <w:b/>
          <w:sz w:val="20"/>
          <w:szCs w:val="18"/>
        </w:rPr>
        <w:t>:</w:t>
      </w:r>
      <w:r w:rsidRPr="00BB6534">
        <w:rPr>
          <w:rFonts w:ascii="Arial" w:eastAsia="Times New Roman" w:hAnsi="Arial" w:cs="Arial"/>
          <w:b/>
          <w:sz w:val="20"/>
          <w:szCs w:val="18"/>
        </w:rPr>
        <w:tab/>
      </w:r>
      <w:r w:rsidR="001714BA" w:rsidRPr="00BB6534">
        <w:rPr>
          <w:rFonts w:ascii="Arial" w:eastAsia="Times New Roman" w:hAnsi="Arial" w:cs="Arial"/>
          <w:b/>
          <w:sz w:val="20"/>
          <w:szCs w:val="18"/>
        </w:rPr>
        <w:t xml:space="preserve">CFTC Regulation </w:t>
      </w:r>
      <w:r w:rsidR="002E0B94">
        <w:rPr>
          <w:rFonts w:ascii="Arial" w:eastAsia="Times New Roman" w:hAnsi="Arial" w:cs="Arial"/>
          <w:b/>
          <w:sz w:val="20"/>
          <w:szCs w:val="18"/>
        </w:rPr>
        <w:t xml:space="preserve">37.3(b) and </w:t>
      </w:r>
      <w:r w:rsidR="001714BA" w:rsidRPr="00BB6534">
        <w:rPr>
          <w:rFonts w:ascii="Arial" w:eastAsia="Times New Roman" w:hAnsi="Arial" w:cs="Arial"/>
          <w:b/>
          <w:sz w:val="20"/>
          <w:szCs w:val="18"/>
        </w:rPr>
        <w:t>40.6(</w:t>
      </w:r>
      <w:r w:rsidR="002E0B94">
        <w:rPr>
          <w:rFonts w:ascii="Arial" w:eastAsia="Times New Roman" w:hAnsi="Arial" w:cs="Arial"/>
          <w:b/>
          <w:sz w:val="20"/>
          <w:szCs w:val="18"/>
        </w:rPr>
        <w:t>e</w:t>
      </w:r>
      <w:r w:rsidR="001714BA" w:rsidRPr="00BB6534">
        <w:rPr>
          <w:rFonts w:ascii="Arial" w:eastAsia="Times New Roman" w:hAnsi="Arial" w:cs="Arial"/>
          <w:b/>
          <w:sz w:val="20"/>
          <w:szCs w:val="18"/>
        </w:rPr>
        <w:t xml:space="preserve">). </w:t>
      </w:r>
      <w:r w:rsidR="003D10D4" w:rsidRPr="00BB6534">
        <w:rPr>
          <w:rFonts w:ascii="Arial" w:eastAsia="Times New Roman" w:hAnsi="Arial" w:cs="Arial"/>
          <w:b/>
          <w:sz w:val="20"/>
          <w:szCs w:val="18"/>
        </w:rPr>
        <w:t xml:space="preserve">Amendments to </w:t>
      </w:r>
      <w:r w:rsidR="007A260E">
        <w:rPr>
          <w:rFonts w:ascii="Arial" w:eastAsia="Times New Roman" w:hAnsi="Arial" w:cs="Arial"/>
          <w:b/>
          <w:sz w:val="20"/>
          <w:szCs w:val="18"/>
        </w:rPr>
        <w:t>Form SEF Exhibits in connection with the Equity Transfer from CME Group to OSTTRA.</w:t>
      </w:r>
    </w:p>
    <w:p w14:paraId="786EB26B" w14:textId="1E2286A6" w:rsidR="00F639FF" w:rsidRPr="00BB6534" w:rsidRDefault="00F639FF" w:rsidP="001714BA">
      <w:pPr>
        <w:spacing w:after="0" w:line="240" w:lineRule="auto"/>
        <w:ind w:left="2160"/>
        <w:jc w:val="both"/>
        <w:rPr>
          <w:rFonts w:ascii="Arial" w:eastAsia="Times New Roman" w:hAnsi="Arial" w:cs="Arial"/>
          <w:b/>
          <w:sz w:val="20"/>
          <w:szCs w:val="18"/>
        </w:rPr>
      </w:pPr>
    </w:p>
    <w:p w14:paraId="7756563F" w14:textId="77777777" w:rsidR="0034611E" w:rsidRPr="00BB6534" w:rsidRDefault="0034611E" w:rsidP="003722C5">
      <w:pPr>
        <w:spacing w:after="0" w:line="240" w:lineRule="auto"/>
        <w:jc w:val="both"/>
        <w:rPr>
          <w:rFonts w:ascii="Arial" w:eastAsia="Times New Roman" w:hAnsi="Arial" w:cs="Arial"/>
          <w:sz w:val="18"/>
          <w:szCs w:val="18"/>
        </w:rPr>
      </w:pPr>
    </w:p>
    <w:p w14:paraId="2854BEDC" w14:textId="77777777" w:rsidR="001714BA" w:rsidRPr="00BB6534" w:rsidRDefault="001714BA" w:rsidP="001714BA">
      <w:pPr>
        <w:spacing w:after="120" w:line="240" w:lineRule="auto"/>
        <w:rPr>
          <w:rFonts w:ascii="Arial" w:eastAsia="Times New Roman" w:hAnsi="Arial" w:cs="Arial"/>
          <w:sz w:val="20"/>
          <w:szCs w:val="20"/>
          <w:lang w:val="x-none" w:eastAsia="x-none"/>
        </w:rPr>
      </w:pPr>
      <w:r w:rsidRPr="00BB6534">
        <w:rPr>
          <w:rFonts w:ascii="Arial" w:eastAsia="Times New Roman" w:hAnsi="Arial" w:cs="Arial"/>
          <w:sz w:val="20"/>
          <w:szCs w:val="20"/>
          <w:lang w:val="x-none" w:eastAsia="x-none"/>
        </w:rPr>
        <w:t>Dear Mr. Kirkpatrick:</w:t>
      </w:r>
    </w:p>
    <w:p w14:paraId="7E7947AC" w14:textId="48C163CE" w:rsidR="00A91437" w:rsidRDefault="00BB3622" w:rsidP="00F031B7">
      <w:pPr>
        <w:spacing w:after="120"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OSTTRA</w:t>
      </w:r>
      <w:r w:rsidR="001714BA" w:rsidRPr="00BB6534">
        <w:rPr>
          <w:rFonts w:ascii="Arial" w:eastAsia="Times New Roman" w:hAnsi="Arial" w:cs="Arial"/>
          <w:sz w:val="20"/>
          <w:szCs w:val="20"/>
          <w:lang w:eastAsia="x-none"/>
        </w:rPr>
        <w:t xml:space="preserve"> SEF Limited (“</w:t>
      </w:r>
      <w:r>
        <w:rPr>
          <w:rFonts w:ascii="Arial" w:eastAsia="Times New Roman" w:hAnsi="Arial" w:cs="Arial"/>
          <w:sz w:val="20"/>
          <w:szCs w:val="20"/>
          <w:lang w:eastAsia="x-none"/>
        </w:rPr>
        <w:t>OSTTRA</w:t>
      </w:r>
      <w:r w:rsidR="001714BA" w:rsidRPr="00BB6534">
        <w:rPr>
          <w:rFonts w:ascii="Arial" w:eastAsia="Times New Roman" w:hAnsi="Arial" w:cs="Arial"/>
          <w:sz w:val="20"/>
          <w:szCs w:val="20"/>
          <w:lang w:eastAsia="x-none"/>
        </w:rPr>
        <w:t xml:space="preserve"> SEF”)</w:t>
      </w:r>
      <w:r>
        <w:rPr>
          <w:rFonts w:ascii="Arial" w:eastAsia="Times New Roman" w:hAnsi="Arial" w:cs="Arial"/>
          <w:sz w:val="20"/>
          <w:szCs w:val="20"/>
          <w:lang w:eastAsia="x-none"/>
        </w:rPr>
        <w:t>, previously known as NEX SEF,</w:t>
      </w:r>
      <w:r w:rsidR="00F031B7">
        <w:rPr>
          <w:rFonts w:ascii="Arial" w:eastAsia="Times New Roman" w:hAnsi="Arial" w:cs="Arial"/>
          <w:sz w:val="20"/>
          <w:szCs w:val="20"/>
          <w:lang w:eastAsia="x-none"/>
        </w:rPr>
        <w:t xml:space="preserve"> is certifying </w:t>
      </w:r>
      <w:r w:rsidR="00953C7D" w:rsidRPr="00BB6534">
        <w:rPr>
          <w:rFonts w:ascii="Arial" w:eastAsia="Times New Roman" w:hAnsi="Arial" w:cs="Arial"/>
          <w:sz w:val="20"/>
          <w:szCs w:val="20"/>
          <w:lang w:eastAsia="x-none"/>
        </w:rPr>
        <w:t>to</w:t>
      </w:r>
      <w:r w:rsidR="001714BA" w:rsidRPr="00BB6534">
        <w:rPr>
          <w:rFonts w:ascii="Arial" w:eastAsia="Times New Roman" w:hAnsi="Arial" w:cs="Arial"/>
          <w:sz w:val="20"/>
          <w:szCs w:val="20"/>
          <w:lang w:val="x-none" w:eastAsia="x-none"/>
        </w:rPr>
        <w:t xml:space="preserve"> the </w:t>
      </w:r>
      <w:r w:rsidR="00D22EB9" w:rsidRPr="00BB6534">
        <w:rPr>
          <w:rFonts w:ascii="Arial" w:eastAsia="Times New Roman" w:hAnsi="Arial" w:cs="Arial"/>
          <w:sz w:val="20"/>
          <w:szCs w:val="20"/>
          <w:lang w:val="x-none" w:eastAsia="x-none"/>
        </w:rPr>
        <w:t>Commodity</w:t>
      </w:r>
      <w:r w:rsidR="00D22EB9" w:rsidRPr="00BB6534">
        <w:rPr>
          <w:rFonts w:ascii="Arial" w:eastAsia="Times New Roman" w:hAnsi="Arial" w:cs="Arial"/>
          <w:spacing w:val="-38"/>
          <w:sz w:val="20"/>
          <w:szCs w:val="20"/>
          <w:lang w:val="x-none" w:eastAsia="x-none"/>
        </w:rPr>
        <w:t xml:space="preserve"> </w:t>
      </w:r>
      <w:r w:rsidR="00D22EB9" w:rsidRPr="00BB6534">
        <w:rPr>
          <w:rFonts w:ascii="Arial" w:eastAsia="Times New Roman" w:hAnsi="Arial" w:cs="Arial"/>
          <w:sz w:val="20"/>
          <w:szCs w:val="20"/>
          <w:lang w:val="x-none" w:eastAsia="x-none"/>
        </w:rPr>
        <w:t>Futures</w:t>
      </w:r>
      <w:r w:rsidR="00D22EB9" w:rsidRPr="00BB6534">
        <w:rPr>
          <w:rFonts w:ascii="Arial" w:eastAsia="Times New Roman" w:hAnsi="Arial" w:cs="Arial"/>
          <w:spacing w:val="-30"/>
          <w:sz w:val="20"/>
          <w:szCs w:val="20"/>
          <w:lang w:val="x-none" w:eastAsia="x-none"/>
        </w:rPr>
        <w:t xml:space="preserve"> </w:t>
      </w:r>
      <w:r w:rsidR="00D22EB9" w:rsidRPr="00BB6534">
        <w:rPr>
          <w:rFonts w:ascii="Arial" w:eastAsia="Times New Roman" w:hAnsi="Arial" w:cs="Arial"/>
          <w:sz w:val="20"/>
          <w:szCs w:val="20"/>
          <w:lang w:val="x-none" w:eastAsia="x-none"/>
        </w:rPr>
        <w:t>Trading</w:t>
      </w:r>
      <w:r w:rsidR="00D22EB9" w:rsidRPr="00BB6534">
        <w:rPr>
          <w:rFonts w:ascii="Arial" w:eastAsia="Times New Roman" w:hAnsi="Arial" w:cs="Arial"/>
          <w:spacing w:val="-32"/>
          <w:sz w:val="20"/>
          <w:szCs w:val="20"/>
          <w:lang w:val="x-none" w:eastAsia="x-none"/>
        </w:rPr>
        <w:t xml:space="preserve"> </w:t>
      </w:r>
      <w:r w:rsidR="00D22EB9" w:rsidRPr="00BB6534">
        <w:rPr>
          <w:rFonts w:ascii="Arial" w:eastAsia="Times New Roman" w:hAnsi="Arial" w:cs="Arial"/>
          <w:sz w:val="20"/>
          <w:szCs w:val="20"/>
          <w:lang w:val="x-none" w:eastAsia="x-none"/>
        </w:rPr>
        <w:t>Commission</w:t>
      </w:r>
      <w:r w:rsidR="00D22EB9" w:rsidRPr="00BB6534">
        <w:rPr>
          <w:rFonts w:ascii="Arial" w:eastAsia="Times New Roman" w:hAnsi="Arial" w:cs="Arial"/>
          <w:spacing w:val="-31"/>
          <w:sz w:val="20"/>
          <w:szCs w:val="20"/>
          <w:lang w:val="x-none" w:eastAsia="x-none"/>
        </w:rPr>
        <w:t xml:space="preserve"> </w:t>
      </w:r>
      <w:r w:rsidR="00D22EB9" w:rsidRPr="00BB6534">
        <w:rPr>
          <w:rFonts w:ascii="Arial" w:eastAsia="Times New Roman" w:hAnsi="Arial" w:cs="Arial"/>
          <w:sz w:val="20"/>
          <w:szCs w:val="20"/>
          <w:lang w:val="x-none" w:eastAsia="x-none"/>
        </w:rPr>
        <w:t>(“CFTC”</w:t>
      </w:r>
      <w:r w:rsidR="00D22EB9" w:rsidRPr="00BB6534">
        <w:rPr>
          <w:rFonts w:ascii="Arial" w:eastAsia="Times New Roman" w:hAnsi="Arial" w:cs="Arial"/>
          <w:spacing w:val="-28"/>
          <w:sz w:val="20"/>
          <w:szCs w:val="20"/>
          <w:lang w:val="x-none" w:eastAsia="x-none"/>
        </w:rPr>
        <w:t xml:space="preserve"> </w:t>
      </w:r>
      <w:r w:rsidR="00D22EB9" w:rsidRPr="00BB6534">
        <w:rPr>
          <w:rFonts w:ascii="Arial" w:eastAsia="Times New Roman" w:hAnsi="Arial" w:cs="Arial"/>
          <w:sz w:val="20"/>
          <w:szCs w:val="20"/>
          <w:lang w:val="x-none" w:eastAsia="x-none"/>
        </w:rPr>
        <w:t>or</w:t>
      </w:r>
      <w:r w:rsidR="00D22EB9" w:rsidRPr="00BB6534">
        <w:rPr>
          <w:rFonts w:ascii="Arial" w:eastAsia="Times New Roman" w:hAnsi="Arial" w:cs="Arial"/>
          <w:spacing w:val="-33"/>
          <w:sz w:val="20"/>
          <w:szCs w:val="20"/>
          <w:lang w:val="x-none" w:eastAsia="x-none"/>
        </w:rPr>
        <w:t xml:space="preserve"> </w:t>
      </w:r>
      <w:r w:rsidR="00D22EB9" w:rsidRPr="00BB6534">
        <w:rPr>
          <w:rFonts w:ascii="Arial" w:eastAsia="Times New Roman" w:hAnsi="Arial" w:cs="Arial"/>
          <w:sz w:val="20"/>
          <w:szCs w:val="20"/>
          <w:lang w:val="x-none" w:eastAsia="x-none"/>
        </w:rPr>
        <w:t>“Commission”)</w:t>
      </w:r>
      <w:r w:rsidR="00D22EB9" w:rsidRPr="00BB6534">
        <w:rPr>
          <w:rFonts w:ascii="Arial" w:eastAsia="Times New Roman" w:hAnsi="Arial" w:cs="Arial"/>
          <w:spacing w:val="-29"/>
          <w:sz w:val="20"/>
          <w:szCs w:val="20"/>
          <w:lang w:val="x-none" w:eastAsia="x-none"/>
        </w:rPr>
        <w:t xml:space="preserve"> </w:t>
      </w:r>
      <w:r w:rsidR="00953C7D" w:rsidRPr="00BB6534">
        <w:rPr>
          <w:rFonts w:ascii="Arial" w:eastAsia="Times New Roman" w:hAnsi="Arial" w:cs="Arial"/>
          <w:sz w:val="20"/>
          <w:szCs w:val="20"/>
          <w:lang w:eastAsia="x-none"/>
        </w:rPr>
        <w:t>amendments</w:t>
      </w:r>
      <w:r w:rsidR="001714BA" w:rsidRPr="00BB6534">
        <w:rPr>
          <w:rFonts w:ascii="Arial" w:eastAsia="Times New Roman" w:hAnsi="Arial" w:cs="Arial"/>
          <w:sz w:val="20"/>
          <w:szCs w:val="20"/>
          <w:lang w:val="x-none" w:eastAsia="x-none"/>
        </w:rPr>
        <w:t xml:space="preserve"> to </w:t>
      </w:r>
      <w:bookmarkStart w:id="1" w:name="_Hlk48576821"/>
      <w:r w:rsidR="00953C7D" w:rsidRPr="00BB6534">
        <w:rPr>
          <w:rFonts w:ascii="Arial" w:eastAsia="Times New Roman" w:hAnsi="Arial" w:cs="Arial"/>
          <w:sz w:val="20"/>
          <w:szCs w:val="20"/>
          <w:lang w:eastAsia="x-none"/>
        </w:rPr>
        <w:t xml:space="preserve">the </w:t>
      </w:r>
      <w:r w:rsidR="007A260E">
        <w:rPr>
          <w:rFonts w:ascii="Arial" w:eastAsia="Times New Roman" w:hAnsi="Arial" w:cs="Arial"/>
          <w:sz w:val="20"/>
          <w:szCs w:val="20"/>
          <w:lang w:eastAsia="x-none"/>
        </w:rPr>
        <w:t xml:space="preserve">various Form SEF Exhibits of </w:t>
      </w:r>
      <w:r w:rsidR="004A285E">
        <w:rPr>
          <w:rFonts w:ascii="Arial" w:eastAsia="Times New Roman" w:hAnsi="Arial" w:cs="Arial"/>
          <w:sz w:val="20"/>
          <w:szCs w:val="20"/>
          <w:lang w:eastAsia="x-none"/>
        </w:rPr>
        <w:t xml:space="preserve">OSTTRA SEF </w:t>
      </w:r>
      <w:r w:rsidR="00F64938" w:rsidRPr="00BB6534">
        <w:rPr>
          <w:rFonts w:ascii="Arial" w:eastAsia="Times New Roman" w:hAnsi="Arial" w:cs="Arial"/>
          <w:sz w:val="20"/>
          <w:szCs w:val="20"/>
          <w:lang w:eastAsia="x-none"/>
        </w:rPr>
        <w:t>(collectively, the “Amendments”)</w:t>
      </w:r>
      <w:r w:rsidR="00953C7D" w:rsidRPr="00BB6534">
        <w:rPr>
          <w:rFonts w:ascii="Arial" w:eastAsia="Times New Roman" w:hAnsi="Arial" w:cs="Arial"/>
          <w:sz w:val="20"/>
          <w:szCs w:val="20"/>
          <w:lang w:eastAsia="x-none"/>
        </w:rPr>
        <w:t xml:space="preserve"> effective on</w:t>
      </w:r>
      <w:r w:rsidR="003457D8" w:rsidRPr="00BB6534">
        <w:rPr>
          <w:rFonts w:ascii="Arial" w:eastAsia="Times New Roman" w:hAnsi="Arial" w:cs="Arial"/>
          <w:sz w:val="20"/>
          <w:szCs w:val="20"/>
          <w:lang w:eastAsia="x-none"/>
        </w:rPr>
        <w:t xml:space="preserve"> </w:t>
      </w:r>
      <w:r>
        <w:rPr>
          <w:rFonts w:ascii="Arial" w:eastAsia="Times New Roman" w:hAnsi="Arial" w:cs="Arial"/>
          <w:sz w:val="20"/>
          <w:szCs w:val="20"/>
          <w:lang w:eastAsia="x-none"/>
        </w:rPr>
        <w:t xml:space="preserve">December </w:t>
      </w:r>
      <w:r w:rsidR="007A260E">
        <w:rPr>
          <w:rFonts w:ascii="Arial" w:eastAsia="Times New Roman" w:hAnsi="Arial" w:cs="Arial"/>
          <w:sz w:val="20"/>
          <w:szCs w:val="20"/>
          <w:lang w:eastAsia="x-none"/>
        </w:rPr>
        <w:t>2</w:t>
      </w:r>
      <w:r w:rsidR="00056D33">
        <w:rPr>
          <w:rFonts w:ascii="Arial" w:eastAsia="Times New Roman" w:hAnsi="Arial" w:cs="Arial"/>
          <w:sz w:val="20"/>
          <w:szCs w:val="20"/>
          <w:lang w:eastAsia="x-none"/>
        </w:rPr>
        <w:t>, 2025</w:t>
      </w:r>
      <w:r w:rsidR="00953C7D" w:rsidRPr="00BB6534">
        <w:rPr>
          <w:rFonts w:ascii="Arial" w:eastAsia="Times New Roman" w:hAnsi="Arial" w:cs="Arial"/>
          <w:sz w:val="20"/>
          <w:szCs w:val="20"/>
          <w:lang w:eastAsia="x-none"/>
        </w:rPr>
        <w:t>.</w:t>
      </w:r>
      <w:r w:rsidR="0063115D">
        <w:rPr>
          <w:rFonts w:ascii="Arial" w:eastAsia="Times New Roman" w:hAnsi="Arial" w:cs="Arial"/>
          <w:sz w:val="20"/>
          <w:szCs w:val="20"/>
          <w:lang w:eastAsia="x-none"/>
        </w:rPr>
        <w:t xml:space="preserve"> </w:t>
      </w:r>
    </w:p>
    <w:p w14:paraId="3EA45500" w14:textId="15FCDAEB" w:rsidR="007A260E" w:rsidRPr="007A260E" w:rsidRDefault="007A260E" w:rsidP="007A260E">
      <w:pPr>
        <w:spacing w:after="120" w:line="240" w:lineRule="auto"/>
        <w:jc w:val="both"/>
        <w:rPr>
          <w:rFonts w:ascii="Arial" w:eastAsia="Times New Roman" w:hAnsi="Arial" w:cs="Arial"/>
          <w:sz w:val="20"/>
          <w:szCs w:val="20"/>
          <w:lang w:eastAsia="x-none"/>
        </w:rPr>
      </w:pPr>
      <w:r w:rsidRPr="007A260E">
        <w:rPr>
          <w:rFonts w:ascii="Arial" w:eastAsia="Times New Roman" w:hAnsi="Arial" w:cs="Arial"/>
          <w:sz w:val="20"/>
          <w:szCs w:val="20"/>
          <w:lang w:eastAsia="x-none"/>
        </w:rPr>
        <w:t>The Amendments as more specifically described below are being made to reflect</w:t>
      </w:r>
      <w:r>
        <w:rPr>
          <w:rFonts w:ascii="Arial" w:eastAsia="Times New Roman" w:hAnsi="Arial" w:cs="Arial"/>
          <w:sz w:val="20"/>
          <w:szCs w:val="20"/>
          <w:lang w:eastAsia="x-none"/>
        </w:rPr>
        <w:t xml:space="preserve"> </w:t>
      </w:r>
      <w:r w:rsidR="009C6136">
        <w:rPr>
          <w:rFonts w:ascii="Arial" w:eastAsia="Times New Roman" w:hAnsi="Arial" w:cs="Arial"/>
          <w:sz w:val="20"/>
          <w:szCs w:val="20"/>
          <w:lang w:eastAsia="x-none"/>
        </w:rPr>
        <w:t xml:space="preserve">various operational and </w:t>
      </w:r>
      <w:r>
        <w:rPr>
          <w:rFonts w:ascii="Arial" w:eastAsia="Times New Roman" w:hAnsi="Arial" w:cs="Arial"/>
          <w:sz w:val="20"/>
          <w:szCs w:val="20"/>
          <w:lang w:eastAsia="x-none"/>
        </w:rPr>
        <w:t xml:space="preserve">organizational changes, in connection with </w:t>
      </w:r>
      <w:r w:rsidRPr="007A260E">
        <w:rPr>
          <w:rFonts w:ascii="Arial" w:eastAsia="Times New Roman" w:hAnsi="Arial" w:cs="Arial"/>
          <w:sz w:val="20"/>
          <w:szCs w:val="20"/>
          <w:lang w:eastAsia="x-none"/>
        </w:rPr>
        <w:t xml:space="preserve">the Equity Transfer </w:t>
      </w:r>
      <w:r>
        <w:rPr>
          <w:rFonts w:ascii="Arial" w:eastAsia="Times New Roman" w:hAnsi="Arial" w:cs="Arial"/>
          <w:sz w:val="20"/>
          <w:szCs w:val="20"/>
          <w:lang w:eastAsia="x-none"/>
        </w:rPr>
        <w:t>Certification</w:t>
      </w:r>
      <w:r w:rsidRPr="007A260E">
        <w:rPr>
          <w:rFonts w:ascii="Arial" w:eastAsia="Times New Roman" w:hAnsi="Arial" w:cs="Arial"/>
          <w:sz w:val="20"/>
          <w:szCs w:val="20"/>
          <w:lang w:eastAsia="x-none"/>
        </w:rPr>
        <w:t xml:space="preserve"> dated </w:t>
      </w:r>
      <w:r>
        <w:rPr>
          <w:rFonts w:ascii="Arial" w:eastAsia="Times New Roman" w:hAnsi="Arial" w:cs="Arial"/>
          <w:sz w:val="20"/>
          <w:szCs w:val="20"/>
          <w:lang w:eastAsia="x-none"/>
        </w:rPr>
        <w:t>October 13</w:t>
      </w:r>
      <w:r w:rsidRPr="007A260E">
        <w:rPr>
          <w:rFonts w:ascii="Arial" w:eastAsia="Times New Roman" w:hAnsi="Arial" w:cs="Arial"/>
          <w:sz w:val="20"/>
          <w:szCs w:val="20"/>
          <w:lang w:eastAsia="x-none"/>
        </w:rPr>
        <w:t>, 2025.</w:t>
      </w:r>
    </w:p>
    <w:p w14:paraId="33C82B63" w14:textId="407950AB" w:rsidR="00852568" w:rsidRPr="005E4491" w:rsidRDefault="009C6136" w:rsidP="00852568">
      <w:pPr>
        <w:pStyle w:val="ListParagraph"/>
        <w:numPr>
          <w:ilvl w:val="0"/>
          <w:numId w:val="20"/>
        </w:numPr>
        <w:jc w:val="both"/>
        <w:rPr>
          <w:rFonts w:ascii="Arial" w:hAnsi="Arial" w:cs="Arial"/>
          <w:bCs/>
          <w:sz w:val="20"/>
          <w:szCs w:val="20"/>
          <w:u w:val="single"/>
        </w:rPr>
      </w:pPr>
      <w:r>
        <w:rPr>
          <w:rFonts w:ascii="Arial" w:hAnsi="Arial" w:cs="Arial"/>
          <w:bCs/>
          <w:sz w:val="20"/>
          <w:szCs w:val="20"/>
          <w:u w:val="single"/>
        </w:rPr>
        <w:t>Compliance Manual</w:t>
      </w:r>
      <w:r w:rsidR="00852568" w:rsidRPr="005E4491">
        <w:rPr>
          <w:rFonts w:ascii="Arial" w:hAnsi="Arial" w:cs="Arial"/>
          <w:bCs/>
          <w:sz w:val="20"/>
          <w:szCs w:val="20"/>
          <w:u w:val="single"/>
        </w:rPr>
        <w:t xml:space="preserve"> (Exhibit </w:t>
      </w:r>
      <w:r>
        <w:rPr>
          <w:rFonts w:ascii="Arial" w:hAnsi="Arial" w:cs="Arial"/>
          <w:bCs/>
          <w:sz w:val="20"/>
          <w:szCs w:val="20"/>
          <w:u w:val="single"/>
        </w:rPr>
        <w:t>O</w:t>
      </w:r>
      <w:r w:rsidR="00852568" w:rsidRPr="005E4491">
        <w:rPr>
          <w:rFonts w:ascii="Arial" w:hAnsi="Arial" w:cs="Arial"/>
          <w:bCs/>
          <w:sz w:val="20"/>
          <w:szCs w:val="20"/>
          <w:u w:val="single"/>
        </w:rPr>
        <w:t>):</w:t>
      </w:r>
    </w:p>
    <w:p w14:paraId="2D83AEE2" w14:textId="77777777" w:rsidR="00371273" w:rsidRPr="00371273" w:rsidRDefault="00371273" w:rsidP="00371273">
      <w:pPr>
        <w:pStyle w:val="ListParagraph"/>
        <w:numPr>
          <w:ilvl w:val="1"/>
          <w:numId w:val="29"/>
        </w:numPr>
        <w:spacing w:before="1" w:after="120" w:line="240" w:lineRule="auto"/>
        <w:ind w:right="139"/>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Substantive changes through the Compliance Manual, updating for changes in operations in connection with Equity Transfer from CME to OSTTRA, and CFTC NAL 24-25. </w:t>
      </w:r>
    </w:p>
    <w:p w14:paraId="3EB98B57" w14:textId="77C79B22" w:rsidR="007E10D4" w:rsidRPr="005077FB" w:rsidRDefault="007E10D4" w:rsidP="00FD1FF7">
      <w:pPr>
        <w:pStyle w:val="ListParagraph"/>
        <w:numPr>
          <w:ilvl w:val="0"/>
          <w:numId w:val="28"/>
        </w:numPr>
        <w:spacing w:after="0" w:line="240" w:lineRule="auto"/>
        <w:ind w:left="1440" w:right="139"/>
        <w:jc w:val="both"/>
        <w:rPr>
          <w:rFonts w:ascii="Arial" w:eastAsia="Times New Roman" w:hAnsi="Arial" w:cs="Arial"/>
          <w:sz w:val="20"/>
          <w:szCs w:val="20"/>
          <w:lang w:eastAsia="x-none"/>
        </w:rPr>
      </w:pPr>
      <w:r>
        <w:rPr>
          <w:rFonts w:ascii="Arial" w:hAnsi="Arial" w:cs="Arial"/>
          <w:bCs/>
          <w:sz w:val="20"/>
          <w:szCs w:val="20"/>
        </w:rPr>
        <w:t xml:space="preserve">Clerical changes throughout the </w:t>
      </w:r>
      <w:r w:rsidR="009C6136">
        <w:rPr>
          <w:rFonts w:ascii="Arial" w:hAnsi="Arial" w:cs="Arial"/>
          <w:bCs/>
          <w:sz w:val="20"/>
          <w:szCs w:val="20"/>
        </w:rPr>
        <w:t>Compliance Manual</w:t>
      </w:r>
      <w:r>
        <w:rPr>
          <w:rFonts w:ascii="Arial" w:hAnsi="Arial" w:cs="Arial"/>
          <w:bCs/>
          <w:sz w:val="20"/>
          <w:szCs w:val="20"/>
        </w:rPr>
        <w:t>, updating for NEX SEF Limited name change to OSTTRA SEF Limited</w:t>
      </w:r>
      <w:r w:rsidR="00BB3622">
        <w:rPr>
          <w:rFonts w:ascii="Arial" w:hAnsi="Arial" w:cs="Arial"/>
          <w:bCs/>
          <w:sz w:val="20"/>
          <w:szCs w:val="20"/>
        </w:rPr>
        <w:t>, effective November 3, 2025</w:t>
      </w:r>
      <w:r>
        <w:rPr>
          <w:rFonts w:ascii="Arial" w:hAnsi="Arial" w:cs="Arial"/>
          <w:bCs/>
          <w:sz w:val="20"/>
          <w:szCs w:val="20"/>
        </w:rPr>
        <w:t xml:space="preserve">. </w:t>
      </w:r>
    </w:p>
    <w:p w14:paraId="2E8D19A0" w14:textId="77777777" w:rsidR="005077FB" w:rsidRDefault="005077FB" w:rsidP="005077FB">
      <w:pPr>
        <w:spacing w:after="0" w:line="240" w:lineRule="auto"/>
        <w:ind w:right="139"/>
        <w:jc w:val="both"/>
        <w:rPr>
          <w:rFonts w:ascii="Arial" w:eastAsia="Times New Roman" w:hAnsi="Arial" w:cs="Arial"/>
          <w:sz w:val="20"/>
          <w:szCs w:val="20"/>
          <w:lang w:eastAsia="x-none"/>
        </w:rPr>
      </w:pPr>
    </w:p>
    <w:p w14:paraId="3C066645" w14:textId="7BE084B3" w:rsidR="005077FB" w:rsidRDefault="005077FB" w:rsidP="005077FB">
      <w:pPr>
        <w:pStyle w:val="ListParagraph"/>
        <w:numPr>
          <w:ilvl w:val="0"/>
          <w:numId w:val="20"/>
        </w:numPr>
        <w:spacing w:after="0" w:line="240" w:lineRule="auto"/>
        <w:ind w:right="139"/>
        <w:jc w:val="both"/>
        <w:rPr>
          <w:rFonts w:ascii="Arial" w:eastAsia="Times New Roman" w:hAnsi="Arial" w:cs="Arial"/>
          <w:sz w:val="20"/>
          <w:szCs w:val="20"/>
          <w:lang w:eastAsia="x-none"/>
        </w:rPr>
      </w:pPr>
      <w:r w:rsidRPr="00CE3AE4">
        <w:rPr>
          <w:rFonts w:ascii="Arial" w:eastAsia="Times New Roman" w:hAnsi="Arial" w:cs="Arial"/>
          <w:sz w:val="20"/>
          <w:szCs w:val="20"/>
          <w:u w:val="single"/>
          <w:lang w:eastAsia="x-none"/>
        </w:rPr>
        <w:t>Directors and Officers (Exhibit B)</w:t>
      </w:r>
      <w:r>
        <w:rPr>
          <w:rFonts w:ascii="Arial" w:eastAsia="Times New Roman" w:hAnsi="Arial" w:cs="Arial"/>
          <w:sz w:val="20"/>
          <w:szCs w:val="20"/>
          <w:lang w:eastAsia="x-none"/>
        </w:rPr>
        <w:t>:</w:t>
      </w:r>
    </w:p>
    <w:p w14:paraId="7F5FC930" w14:textId="074537FA" w:rsidR="00675311" w:rsidRDefault="00F94B3A" w:rsidP="00F94B3A">
      <w:pPr>
        <w:pStyle w:val="ListParagraph"/>
        <w:numPr>
          <w:ilvl w:val="1"/>
          <w:numId w:val="20"/>
        </w:numPr>
        <w:spacing w:after="0" w:line="240" w:lineRule="auto"/>
        <w:ind w:left="1530" w:right="139" w:hanging="450"/>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Updated listing of Directors and Officers, consistent with the CCO notification of changes to the Board, Officers and CCO provided to the CFTC on October 13, 2025. </w:t>
      </w:r>
    </w:p>
    <w:p w14:paraId="5FF1E48F" w14:textId="77777777" w:rsidR="00F33A5A" w:rsidRDefault="00F33A5A" w:rsidP="00F33A5A">
      <w:pPr>
        <w:pStyle w:val="ListParagraph"/>
        <w:spacing w:after="0" w:line="240" w:lineRule="auto"/>
        <w:ind w:right="139"/>
        <w:jc w:val="both"/>
        <w:rPr>
          <w:rFonts w:ascii="Arial" w:eastAsia="Times New Roman" w:hAnsi="Arial" w:cs="Arial"/>
          <w:sz w:val="20"/>
          <w:szCs w:val="20"/>
          <w:lang w:eastAsia="x-none"/>
        </w:rPr>
      </w:pPr>
    </w:p>
    <w:p w14:paraId="5F1A1C87" w14:textId="62AB33D5" w:rsidR="005077FB" w:rsidRPr="00CE3AE4" w:rsidRDefault="005077FB" w:rsidP="005077FB">
      <w:pPr>
        <w:pStyle w:val="ListParagraph"/>
        <w:numPr>
          <w:ilvl w:val="0"/>
          <w:numId w:val="20"/>
        </w:numPr>
        <w:spacing w:after="0" w:line="240" w:lineRule="auto"/>
        <w:ind w:right="139"/>
        <w:jc w:val="both"/>
        <w:rPr>
          <w:rFonts w:ascii="Arial" w:eastAsia="Times New Roman" w:hAnsi="Arial" w:cs="Arial"/>
          <w:sz w:val="20"/>
          <w:szCs w:val="20"/>
          <w:u w:val="single"/>
          <w:lang w:eastAsia="x-none"/>
        </w:rPr>
      </w:pPr>
      <w:r w:rsidRPr="00CE3AE4">
        <w:rPr>
          <w:rFonts w:ascii="Arial" w:eastAsia="Times New Roman" w:hAnsi="Arial" w:cs="Arial"/>
          <w:sz w:val="20"/>
          <w:szCs w:val="20"/>
          <w:u w:val="single"/>
          <w:lang w:eastAsia="x-none"/>
        </w:rPr>
        <w:t>Fitness (Exhibit C)</w:t>
      </w:r>
    </w:p>
    <w:p w14:paraId="09A64F7D" w14:textId="35B3B0ED" w:rsidR="00D30F36" w:rsidRDefault="00D30F36" w:rsidP="00D30F36">
      <w:pPr>
        <w:pStyle w:val="ListParagraph"/>
        <w:numPr>
          <w:ilvl w:val="1"/>
          <w:numId w:val="20"/>
        </w:numPr>
        <w:spacing w:after="0" w:line="240" w:lineRule="auto"/>
        <w:ind w:right="139" w:firstLine="360"/>
        <w:jc w:val="both"/>
        <w:rPr>
          <w:rFonts w:ascii="Arial" w:eastAsia="Times New Roman" w:hAnsi="Arial" w:cs="Arial"/>
          <w:sz w:val="20"/>
          <w:szCs w:val="20"/>
          <w:lang w:eastAsia="x-none"/>
        </w:rPr>
      </w:pPr>
      <w:r>
        <w:rPr>
          <w:rFonts w:ascii="Arial" w:eastAsia="Times New Roman" w:hAnsi="Arial" w:cs="Arial"/>
          <w:sz w:val="20"/>
          <w:szCs w:val="20"/>
          <w:lang w:eastAsia="x-none"/>
        </w:rPr>
        <w:t>Updated to reflect NEX SEF Limited name change to OSTTRA SEF Limited.</w:t>
      </w:r>
    </w:p>
    <w:p w14:paraId="4B25D26A" w14:textId="77777777" w:rsidR="00D30F36" w:rsidRDefault="00D30F36" w:rsidP="00D30F36">
      <w:pPr>
        <w:pStyle w:val="ListParagraph"/>
        <w:spacing w:after="0" w:line="240" w:lineRule="auto"/>
        <w:ind w:left="1080" w:right="139"/>
        <w:jc w:val="both"/>
        <w:rPr>
          <w:rFonts w:ascii="Arial" w:eastAsia="Times New Roman" w:hAnsi="Arial" w:cs="Arial"/>
          <w:sz w:val="20"/>
          <w:szCs w:val="20"/>
          <w:lang w:eastAsia="x-none"/>
        </w:rPr>
      </w:pPr>
    </w:p>
    <w:p w14:paraId="09893371" w14:textId="49636E60" w:rsidR="005077FB" w:rsidRPr="00CE3AE4" w:rsidRDefault="005077FB" w:rsidP="005077FB">
      <w:pPr>
        <w:pStyle w:val="ListParagraph"/>
        <w:numPr>
          <w:ilvl w:val="0"/>
          <w:numId w:val="20"/>
        </w:numPr>
        <w:spacing w:after="0" w:line="240" w:lineRule="auto"/>
        <w:ind w:right="139"/>
        <w:jc w:val="both"/>
        <w:rPr>
          <w:rFonts w:ascii="Arial" w:eastAsia="Times New Roman" w:hAnsi="Arial" w:cs="Arial"/>
          <w:sz w:val="20"/>
          <w:szCs w:val="20"/>
          <w:u w:val="single"/>
          <w:lang w:eastAsia="x-none"/>
        </w:rPr>
      </w:pPr>
      <w:r w:rsidRPr="00CE3AE4">
        <w:rPr>
          <w:rFonts w:ascii="Arial" w:eastAsia="Times New Roman" w:hAnsi="Arial" w:cs="Arial"/>
          <w:sz w:val="20"/>
          <w:szCs w:val="20"/>
          <w:u w:val="single"/>
          <w:lang w:eastAsia="x-none"/>
        </w:rPr>
        <w:t>Personnel Qualification Description (Exhibit E)</w:t>
      </w:r>
    </w:p>
    <w:p w14:paraId="4380890C" w14:textId="77777777" w:rsidR="00C76D53" w:rsidRDefault="00C76D53" w:rsidP="00C76D53">
      <w:pPr>
        <w:pStyle w:val="ListParagraph"/>
        <w:numPr>
          <w:ilvl w:val="1"/>
          <w:numId w:val="20"/>
        </w:numPr>
        <w:spacing w:after="0" w:line="240" w:lineRule="auto"/>
        <w:ind w:right="139" w:firstLine="360"/>
        <w:jc w:val="both"/>
        <w:rPr>
          <w:rFonts w:ascii="Arial" w:eastAsia="Times New Roman" w:hAnsi="Arial" w:cs="Arial"/>
          <w:sz w:val="20"/>
          <w:szCs w:val="20"/>
          <w:lang w:eastAsia="x-none"/>
        </w:rPr>
      </w:pPr>
      <w:r>
        <w:rPr>
          <w:rFonts w:ascii="Arial" w:eastAsia="Times New Roman" w:hAnsi="Arial" w:cs="Arial"/>
          <w:sz w:val="20"/>
          <w:szCs w:val="20"/>
          <w:lang w:eastAsia="x-none"/>
        </w:rPr>
        <w:t>Updated to reflect NEX SEF Limited name change to OSTTRA SEF Limited.</w:t>
      </w:r>
    </w:p>
    <w:p w14:paraId="386BD194" w14:textId="77777777" w:rsidR="00C76D53" w:rsidRDefault="00C76D53" w:rsidP="00C76D53">
      <w:pPr>
        <w:pStyle w:val="ListParagraph"/>
        <w:spacing w:after="0" w:line="240" w:lineRule="auto"/>
        <w:ind w:left="1080" w:right="139"/>
        <w:jc w:val="both"/>
        <w:rPr>
          <w:rFonts w:ascii="Arial" w:eastAsia="Times New Roman" w:hAnsi="Arial" w:cs="Arial"/>
          <w:sz w:val="20"/>
          <w:szCs w:val="20"/>
          <w:lang w:eastAsia="x-none"/>
        </w:rPr>
      </w:pPr>
    </w:p>
    <w:p w14:paraId="19C63670" w14:textId="5BFA1919" w:rsidR="005077FB" w:rsidRPr="00CE3AE4" w:rsidRDefault="005077FB" w:rsidP="005077FB">
      <w:pPr>
        <w:pStyle w:val="ListParagraph"/>
        <w:numPr>
          <w:ilvl w:val="0"/>
          <w:numId w:val="20"/>
        </w:numPr>
        <w:spacing w:after="0" w:line="240" w:lineRule="auto"/>
        <w:ind w:right="139"/>
        <w:jc w:val="both"/>
        <w:rPr>
          <w:rFonts w:ascii="Arial" w:eastAsia="Times New Roman" w:hAnsi="Arial" w:cs="Arial"/>
          <w:sz w:val="20"/>
          <w:szCs w:val="20"/>
          <w:u w:val="single"/>
          <w:lang w:eastAsia="x-none"/>
        </w:rPr>
      </w:pPr>
      <w:r w:rsidRPr="00CE3AE4">
        <w:rPr>
          <w:rFonts w:ascii="Arial" w:eastAsia="Times New Roman" w:hAnsi="Arial" w:cs="Arial"/>
          <w:sz w:val="20"/>
          <w:szCs w:val="20"/>
          <w:u w:val="single"/>
          <w:lang w:eastAsia="x-none"/>
        </w:rPr>
        <w:t>Staffing Requirements (Exhibit F)</w:t>
      </w:r>
    </w:p>
    <w:p w14:paraId="206E3E99" w14:textId="4D31B2CD" w:rsidR="00EB05FF" w:rsidRDefault="00EB05FF" w:rsidP="00EB05FF">
      <w:pPr>
        <w:pStyle w:val="ListParagraph"/>
        <w:numPr>
          <w:ilvl w:val="1"/>
          <w:numId w:val="20"/>
        </w:numPr>
        <w:spacing w:after="0" w:line="240" w:lineRule="auto"/>
        <w:ind w:right="139" w:firstLine="360"/>
        <w:jc w:val="both"/>
        <w:rPr>
          <w:rFonts w:ascii="Arial" w:eastAsia="Times New Roman" w:hAnsi="Arial" w:cs="Arial"/>
          <w:sz w:val="20"/>
          <w:szCs w:val="20"/>
          <w:lang w:eastAsia="x-none"/>
        </w:rPr>
      </w:pPr>
      <w:r>
        <w:rPr>
          <w:rFonts w:ascii="Arial" w:eastAsia="Times New Roman" w:hAnsi="Arial" w:cs="Arial"/>
          <w:sz w:val="20"/>
          <w:szCs w:val="20"/>
          <w:lang w:eastAsia="x-none"/>
        </w:rPr>
        <w:t>Updated to reflect staffing changes in connection with the Equity Transfer Certification dated October 13, 2025</w:t>
      </w:r>
    </w:p>
    <w:p w14:paraId="7C2CABA0" w14:textId="5D6FADDF" w:rsidR="00EB05FF" w:rsidRDefault="00EB05FF" w:rsidP="00EB05FF">
      <w:pPr>
        <w:pStyle w:val="ListParagraph"/>
        <w:numPr>
          <w:ilvl w:val="1"/>
          <w:numId w:val="20"/>
        </w:numPr>
        <w:spacing w:after="0" w:line="240" w:lineRule="auto"/>
        <w:ind w:right="139" w:firstLine="360"/>
        <w:jc w:val="both"/>
        <w:rPr>
          <w:rFonts w:ascii="Arial" w:eastAsia="Times New Roman" w:hAnsi="Arial" w:cs="Arial"/>
          <w:sz w:val="20"/>
          <w:szCs w:val="20"/>
          <w:lang w:eastAsia="x-none"/>
        </w:rPr>
      </w:pPr>
      <w:r>
        <w:rPr>
          <w:rFonts w:ascii="Arial" w:eastAsia="Times New Roman" w:hAnsi="Arial" w:cs="Arial"/>
          <w:sz w:val="20"/>
          <w:szCs w:val="20"/>
          <w:lang w:eastAsia="x-none"/>
        </w:rPr>
        <w:t>Updated to reflect NEX SEF Limited name change to OSTTRA SEF Limited.</w:t>
      </w:r>
    </w:p>
    <w:p w14:paraId="5E20E96D" w14:textId="77777777" w:rsidR="00EB05FF" w:rsidRDefault="00EB05FF" w:rsidP="00EB05FF">
      <w:pPr>
        <w:pStyle w:val="ListParagraph"/>
        <w:spacing w:after="0" w:line="240" w:lineRule="auto"/>
        <w:ind w:right="139"/>
        <w:jc w:val="both"/>
        <w:rPr>
          <w:rFonts w:ascii="Arial" w:eastAsia="Times New Roman" w:hAnsi="Arial" w:cs="Arial"/>
          <w:sz w:val="20"/>
          <w:szCs w:val="20"/>
          <w:lang w:eastAsia="x-none"/>
        </w:rPr>
      </w:pPr>
    </w:p>
    <w:p w14:paraId="6DB8F8F1" w14:textId="3FBB418B" w:rsidR="005077FB" w:rsidRPr="00CE3AE4" w:rsidRDefault="005077FB" w:rsidP="005077FB">
      <w:pPr>
        <w:pStyle w:val="ListParagraph"/>
        <w:numPr>
          <w:ilvl w:val="0"/>
          <w:numId w:val="20"/>
        </w:numPr>
        <w:spacing w:after="0" w:line="240" w:lineRule="auto"/>
        <w:ind w:right="139"/>
        <w:jc w:val="both"/>
        <w:rPr>
          <w:rFonts w:ascii="Arial" w:eastAsia="Times New Roman" w:hAnsi="Arial" w:cs="Arial"/>
          <w:sz w:val="20"/>
          <w:szCs w:val="20"/>
          <w:u w:val="single"/>
          <w:lang w:eastAsia="x-none"/>
        </w:rPr>
      </w:pPr>
      <w:r w:rsidRPr="00CE3AE4">
        <w:rPr>
          <w:rFonts w:ascii="Arial" w:eastAsia="Times New Roman" w:hAnsi="Arial" w:cs="Arial"/>
          <w:sz w:val="20"/>
          <w:szCs w:val="20"/>
          <w:u w:val="single"/>
          <w:lang w:eastAsia="x-none"/>
        </w:rPr>
        <w:t>Organizational Documents (Exhibit G1a)</w:t>
      </w:r>
    </w:p>
    <w:p w14:paraId="0D498C41" w14:textId="264DF761" w:rsidR="00EB05FF" w:rsidRDefault="00EB05FF" w:rsidP="00EB05FF">
      <w:pPr>
        <w:pStyle w:val="ListParagraph"/>
        <w:numPr>
          <w:ilvl w:val="0"/>
          <w:numId w:val="30"/>
        </w:numPr>
        <w:spacing w:after="0" w:line="240" w:lineRule="auto"/>
        <w:ind w:right="139"/>
        <w:jc w:val="both"/>
        <w:rPr>
          <w:rFonts w:ascii="Arial" w:eastAsia="Times New Roman" w:hAnsi="Arial" w:cs="Arial"/>
          <w:sz w:val="20"/>
          <w:szCs w:val="20"/>
          <w:lang w:eastAsia="x-none"/>
        </w:rPr>
      </w:pPr>
      <w:r>
        <w:rPr>
          <w:rFonts w:ascii="Arial" w:eastAsia="Times New Roman" w:hAnsi="Arial" w:cs="Arial"/>
          <w:sz w:val="20"/>
          <w:szCs w:val="20"/>
          <w:lang w:eastAsia="x-none"/>
        </w:rPr>
        <w:t>New exhibit, to supplement existing Exhibit G1, to evidence the official certification of entity name change from NEX SEF Limited to OSTTRA SEF Limited.</w:t>
      </w:r>
    </w:p>
    <w:p w14:paraId="6C3345E1" w14:textId="77777777" w:rsidR="00EB05FF" w:rsidRDefault="00EB05FF" w:rsidP="00EB05FF">
      <w:pPr>
        <w:pStyle w:val="ListParagraph"/>
        <w:spacing w:after="0" w:line="240" w:lineRule="auto"/>
        <w:ind w:left="1440" w:right="139"/>
        <w:jc w:val="both"/>
        <w:rPr>
          <w:rFonts w:ascii="Arial" w:eastAsia="Times New Roman" w:hAnsi="Arial" w:cs="Arial"/>
          <w:sz w:val="20"/>
          <w:szCs w:val="20"/>
          <w:lang w:eastAsia="x-none"/>
        </w:rPr>
      </w:pPr>
    </w:p>
    <w:p w14:paraId="3F46A73E" w14:textId="2D5CCD6C" w:rsidR="005077FB" w:rsidRPr="009A2432" w:rsidRDefault="005077FB" w:rsidP="005077FB">
      <w:pPr>
        <w:pStyle w:val="ListParagraph"/>
        <w:numPr>
          <w:ilvl w:val="0"/>
          <w:numId w:val="20"/>
        </w:numPr>
        <w:spacing w:after="0" w:line="240" w:lineRule="auto"/>
        <w:ind w:right="139"/>
        <w:jc w:val="both"/>
        <w:rPr>
          <w:rFonts w:ascii="Arial" w:eastAsia="Times New Roman" w:hAnsi="Arial" w:cs="Arial"/>
          <w:sz w:val="20"/>
          <w:szCs w:val="20"/>
          <w:u w:val="single"/>
          <w:lang w:eastAsia="x-none"/>
        </w:rPr>
      </w:pPr>
      <w:r w:rsidRPr="009A2432">
        <w:rPr>
          <w:rFonts w:ascii="Arial" w:eastAsia="Times New Roman" w:hAnsi="Arial" w:cs="Arial"/>
          <w:sz w:val="20"/>
          <w:szCs w:val="20"/>
          <w:u w:val="single"/>
          <w:lang w:eastAsia="x-none"/>
        </w:rPr>
        <w:t>Listing of Material Legal Proceedings (Exhibit H</w:t>
      </w:r>
      <w:r w:rsidR="001A27BF" w:rsidRPr="009A2432">
        <w:rPr>
          <w:rFonts w:ascii="Arial" w:eastAsia="Times New Roman" w:hAnsi="Arial" w:cs="Arial"/>
          <w:sz w:val="20"/>
          <w:szCs w:val="20"/>
          <w:u w:val="single"/>
          <w:lang w:eastAsia="x-none"/>
        </w:rPr>
        <w:t xml:space="preserve"> and Exhibit H1)</w:t>
      </w:r>
    </w:p>
    <w:p w14:paraId="34A90133" w14:textId="67CB8C90" w:rsidR="001A27BF" w:rsidRDefault="001A27BF" w:rsidP="001A27BF">
      <w:pPr>
        <w:pStyle w:val="ListParagraph"/>
        <w:numPr>
          <w:ilvl w:val="0"/>
          <w:numId w:val="30"/>
        </w:numPr>
        <w:spacing w:after="0" w:line="240" w:lineRule="auto"/>
        <w:ind w:right="139"/>
        <w:jc w:val="both"/>
        <w:rPr>
          <w:rFonts w:ascii="Arial" w:eastAsia="Times New Roman" w:hAnsi="Arial" w:cs="Arial"/>
          <w:sz w:val="20"/>
          <w:szCs w:val="20"/>
          <w:lang w:eastAsia="x-none"/>
        </w:rPr>
      </w:pPr>
      <w:r>
        <w:rPr>
          <w:rFonts w:ascii="Arial" w:eastAsia="Times New Roman" w:hAnsi="Arial" w:cs="Arial"/>
          <w:sz w:val="20"/>
          <w:szCs w:val="20"/>
          <w:lang w:eastAsia="x-none"/>
        </w:rPr>
        <w:lastRenderedPageBreak/>
        <w:t xml:space="preserve">Updated to reflect the changes in </w:t>
      </w:r>
      <w:r w:rsidR="009A2432">
        <w:rPr>
          <w:rFonts w:ascii="Arial" w:eastAsia="Times New Roman" w:hAnsi="Arial" w:cs="Arial"/>
          <w:sz w:val="20"/>
          <w:szCs w:val="20"/>
          <w:lang w:eastAsia="x-none"/>
        </w:rPr>
        <w:t xml:space="preserve">organizational structure, in </w:t>
      </w:r>
      <w:r>
        <w:rPr>
          <w:rFonts w:ascii="Arial" w:eastAsia="Times New Roman" w:hAnsi="Arial" w:cs="Arial"/>
          <w:sz w:val="20"/>
          <w:szCs w:val="20"/>
          <w:lang w:eastAsia="x-none"/>
        </w:rPr>
        <w:t>connection with the Equity Transfer Certification dated October 13, 2025</w:t>
      </w:r>
      <w:r w:rsidR="009A2432">
        <w:rPr>
          <w:rFonts w:ascii="Arial" w:eastAsia="Times New Roman" w:hAnsi="Arial" w:cs="Arial"/>
          <w:sz w:val="20"/>
          <w:szCs w:val="20"/>
          <w:lang w:eastAsia="x-none"/>
        </w:rPr>
        <w:t>, and a new Form 10K</w:t>
      </w:r>
      <w:r>
        <w:rPr>
          <w:rFonts w:ascii="Arial" w:eastAsia="Times New Roman" w:hAnsi="Arial" w:cs="Arial"/>
          <w:sz w:val="20"/>
          <w:szCs w:val="20"/>
          <w:lang w:eastAsia="x-none"/>
        </w:rPr>
        <w:t>.</w:t>
      </w:r>
    </w:p>
    <w:p w14:paraId="79089350" w14:textId="77777777" w:rsidR="001A27BF" w:rsidRDefault="001A27BF" w:rsidP="001A27BF">
      <w:pPr>
        <w:pStyle w:val="ListParagraph"/>
        <w:spacing w:after="0" w:line="240" w:lineRule="auto"/>
        <w:ind w:left="1440" w:right="139"/>
        <w:jc w:val="both"/>
        <w:rPr>
          <w:rFonts w:ascii="Arial" w:eastAsia="Times New Roman" w:hAnsi="Arial" w:cs="Arial"/>
          <w:sz w:val="20"/>
          <w:szCs w:val="20"/>
          <w:lang w:eastAsia="x-none"/>
        </w:rPr>
      </w:pPr>
    </w:p>
    <w:p w14:paraId="00AD96EE" w14:textId="77777777" w:rsidR="00675311" w:rsidRPr="006407D9" w:rsidRDefault="00675311" w:rsidP="00675311">
      <w:pPr>
        <w:pStyle w:val="ListParagraph"/>
        <w:numPr>
          <w:ilvl w:val="0"/>
          <w:numId w:val="20"/>
        </w:numPr>
        <w:spacing w:after="0" w:line="240" w:lineRule="auto"/>
        <w:ind w:right="139"/>
        <w:jc w:val="both"/>
        <w:rPr>
          <w:rFonts w:ascii="Arial" w:eastAsia="Times New Roman" w:hAnsi="Arial" w:cs="Arial"/>
          <w:sz w:val="20"/>
          <w:szCs w:val="20"/>
          <w:u w:val="single"/>
          <w:lang w:eastAsia="x-none"/>
        </w:rPr>
      </w:pPr>
      <w:r w:rsidRPr="006407D9">
        <w:rPr>
          <w:rFonts w:ascii="Arial" w:eastAsia="Times New Roman" w:hAnsi="Arial" w:cs="Arial"/>
          <w:sz w:val="20"/>
          <w:szCs w:val="20"/>
          <w:u w:val="single"/>
          <w:lang w:eastAsia="x-none"/>
        </w:rPr>
        <w:t>SEF Affiliate Financials (Exhibit J)</w:t>
      </w:r>
    </w:p>
    <w:p w14:paraId="2BA99E98" w14:textId="0E22CAD2" w:rsidR="00675311" w:rsidRPr="001A27BF" w:rsidRDefault="001A27BF" w:rsidP="001A27BF">
      <w:pPr>
        <w:pStyle w:val="ListParagraph"/>
        <w:numPr>
          <w:ilvl w:val="1"/>
          <w:numId w:val="20"/>
        </w:numPr>
        <w:spacing w:after="0" w:line="240" w:lineRule="auto"/>
        <w:ind w:left="1440" w:right="139"/>
        <w:jc w:val="both"/>
        <w:rPr>
          <w:rFonts w:ascii="Arial" w:eastAsia="Times New Roman" w:hAnsi="Arial" w:cs="Arial"/>
          <w:sz w:val="20"/>
          <w:szCs w:val="20"/>
          <w:lang w:eastAsia="x-none"/>
        </w:rPr>
      </w:pPr>
      <w:r>
        <w:rPr>
          <w:rFonts w:ascii="Arial" w:eastAsia="Times New Roman" w:hAnsi="Arial" w:cs="Arial"/>
          <w:sz w:val="20"/>
          <w:szCs w:val="20"/>
          <w:lang w:eastAsia="x-none"/>
        </w:rPr>
        <w:t>Updated to reflect the changes in</w:t>
      </w:r>
      <w:r w:rsidR="009A2432">
        <w:rPr>
          <w:rFonts w:ascii="Arial" w:eastAsia="Times New Roman" w:hAnsi="Arial" w:cs="Arial"/>
          <w:sz w:val="20"/>
          <w:szCs w:val="20"/>
          <w:lang w:eastAsia="x-none"/>
        </w:rPr>
        <w:t xml:space="preserve"> affiliates, in</w:t>
      </w:r>
      <w:r>
        <w:rPr>
          <w:rFonts w:ascii="Arial" w:eastAsia="Times New Roman" w:hAnsi="Arial" w:cs="Arial"/>
          <w:sz w:val="20"/>
          <w:szCs w:val="20"/>
          <w:lang w:eastAsia="x-none"/>
        </w:rPr>
        <w:t xml:space="preserve"> connection with the Equity Transfer Certification dated October 13, 2025.</w:t>
      </w:r>
    </w:p>
    <w:p w14:paraId="3B2DDBFF" w14:textId="77777777" w:rsidR="00852568" w:rsidRPr="005E4491" w:rsidRDefault="00852568" w:rsidP="00852568">
      <w:pPr>
        <w:pStyle w:val="ListParagraph"/>
        <w:spacing w:before="1" w:after="120" w:line="240" w:lineRule="auto"/>
        <w:ind w:left="1080" w:right="139"/>
        <w:jc w:val="both"/>
        <w:rPr>
          <w:rFonts w:ascii="Arial" w:eastAsia="Times New Roman" w:hAnsi="Arial" w:cs="Arial"/>
          <w:sz w:val="20"/>
          <w:szCs w:val="20"/>
          <w:lang w:eastAsia="x-none"/>
        </w:rPr>
      </w:pPr>
    </w:p>
    <w:bookmarkEnd w:id="1"/>
    <w:p w14:paraId="05E9C544" w14:textId="0E3FCC71" w:rsidR="009A67BA" w:rsidRPr="005B6D1D" w:rsidRDefault="003D10D4" w:rsidP="00A47179">
      <w:pPr>
        <w:spacing w:before="1" w:after="120" w:line="240" w:lineRule="auto"/>
        <w:ind w:right="139"/>
        <w:jc w:val="both"/>
        <w:rPr>
          <w:rFonts w:ascii="Arial" w:hAnsi="Arial" w:cs="Arial"/>
          <w:sz w:val="20"/>
          <w:szCs w:val="20"/>
        </w:rPr>
      </w:pPr>
      <w:r w:rsidRPr="005B6D1D">
        <w:rPr>
          <w:rFonts w:ascii="Arial" w:hAnsi="Arial" w:cs="Arial"/>
          <w:sz w:val="20"/>
          <w:szCs w:val="20"/>
        </w:rPr>
        <w:t xml:space="preserve">Pursuant to </w:t>
      </w:r>
      <w:r w:rsidR="004A25A1" w:rsidRPr="005B6D1D">
        <w:rPr>
          <w:rFonts w:ascii="Arial" w:hAnsi="Arial" w:cs="Arial"/>
          <w:sz w:val="20"/>
          <w:szCs w:val="20"/>
        </w:rPr>
        <w:t xml:space="preserve">Commission Regulation 37.3(b)(3), </w:t>
      </w:r>
      <w:r w:rsidR="006965EC" w:rsidRPr="005B6D1D">
        <w:rPr>
          <w:rFonts w:ascii="Arial" w:hAnsi="Arial" w:cs="Arial"/>
          <w:sz w:val="20"/>
          <w:szCs w:val="20"/>
        </w:rPr>
        <w:t xml:space="preserve">once </w:t>
      </w:r>
      <w:r w:rsidR="001A27BF">
        <w:rPr>
          <w:rFonts w:ascii="Arial" w:hAnsi="Arial" w:cs="Arial"/>
          <w:sz w:val="20"/>
          <w:szCs w:val="20"/>
        </w:rPr>
        <w:t xml:space="preserve">the </w:t>
      </w:r>
      <w:r w:rsidR="006965EC" w:rsidRPr="005B6D1D">
        <w:rPr>
          <w:rFonts w:ascii="Arial" w:hAnsi="Arial" w:cs="Arial"/>
          <w:sz w:val="20"/>
          <w:szCs w:val="20"/>
        </w:rPr>
        <w:t xml:space="preserve">SEF is registered as such with the Commission, </w:t>
      </w:r>
      <w:r w:rsidR="001E72E3" w:rsidRPr="005B6D1D">
        <w:rPr>
          <w:rFonts w:ascii="Arial" w:hAnsi="Arial" w:cs="Arial"/>
          <w:sz w:val="20"/>
          <w:szCs w:val="20"/>
        </w:rPr>
        <w:t xml:space="preserve">any amendments to Form SEF </w:t>
      </w:r>
      <w:r w:rsidR="006965EC" w:rsidRPr="005B6D1D">
        <w:rPr>
          <w:rFonts w:ascii="Arial" w:hAnsi="Arial" w:cs="Arial"/>
          <w:sz w:val="20"/>
          <w:szCs w:val="20"/>
        </w:rPr>
        <w:t xml:space="preserve">must be filed </w:t>
      </w:r>
      <w:r w:rsidR="001E72E3" w:rsidRPr="005B6D1D">
        <w:rPr>
          <w:rFonts w:ascii="Arial" w:hAnsi="Arial" w:cs="Arial"/>
          <w:sz w:val="20"/>
          <w:szCs w:val="20"/>
        </w:rPr>
        <w:t xml:space="preserve">as a submission under part 40 of the Commission’s regulations or as </w:t>
      </w:r>
      <w:r w:rsidR="006965EC" w:rsidRPr="005B6D1D">
        <w:rPr>
          <w:rFonts w:ascii="Arial" w:hAnsi="Arial" w:cs="Arial"/>
          <w:sz w:val="20"/>
          <w:szCs w:val="20"/>
        </w:rPr>
        <w:t xml:space="preserve">otherwise </w:t>
      </w:r>
      <w:r w:rsidR="001E72E3" w:rsidRPr="005B6D1D">
        <w:rPr>
          <w:rFonts w:ascii="Arial" w:hAnsi="Arial" w:cs="Arial"/>
          <w:sz w:val="20"/>
          <w:szCs w:val="20"/>
        </w:rPr>
        <w:t xml:space="preserve">specified by the </w:t>
      </w:r>
      <w:r w:rsidR="006965EC" w:rsidRPr="005B6D1D">
        <w:rPr>
          <w:rFonts w:ascii="Arial" w:hAnsi="Arial" w:cs="Arial"/>
          <w:sz w:val="20"/>
          <w:szCs w:val="20"/>
        </w:rPr>
        <w:t>Commission.</w:t>
      </w:r>
      <w:r w:rsidR="00283F50" w:rsidRPr="005B6D1D">
        <w:rPr>
          <w:rStyle w:val="FootnoteReference"/>
          <w:rFonts w:ascii="Arial" w:hAnsi="Arial" w:cs="Arial"/>
          <w:sz w:val="20"/>
          <w:szCs w:val="20"/>
        </w:rPr>
        <w:footnoteReference w:id="1"/>
      </w:r>
      <w:r w:rsidR="006965EC" w:rsidRPr="005B6D1D">
        <w:rPr>
          <w:rFonts w:ascii="Arial" w:hAnsi="Arial" w:cs="Arial"/>
          <w:sz w:val="20"/>
          <w:szCs w:val="20"/>
        </w:rPr>
        <w:t xml:space="preserve">  </w:t>
      </w:r>
      <w:r w:rsidR="004A25A1" w:rsidRPr="005B6D1D">
        <w:rPr>
          <w:rFonts w:ascii="Arial" w:hAnsi="Arial" w:cs="Arial"/>
          <w:sz w:val="20"/>
          <w:szCs w:val="20"/>
        </w:rPr>
        <w:t xml:space="preserve">The </w:t>
      </w:r>
      <w:r w:rsidR="002B376A" w:rsidRPr="005B6D1D">
        <w:rPr>
          <w:rFonts w:ascii="Arial" w:hAnsi="Arial" w:cs="Arial"/>
          <w:sz w:val="20"/>
          <w:szCs w:val="20"/>
        </w:rPr>
        <w:t>A</w:t>
      </w:r>
      <w:r w:rsidR="004A25A1" w:rsidRPr="005B6D1D">
        <w:rPr>
          <w:rFonts w:ascii="Arial" w:hAnsi="Arial" w:cs="Arial"/>
          <w:sz w:val="20"/>
          <w:szCs w:val="20"/>
        </w:rPr>
        <w:t xml:space="preserve">mendments serve to </w:t>
      </w:r>
      <w:r w:rsidR="004A25A1" w:rsidRPr="00CF590D">
        <w:rPr>
          <w:rFonts w:ascii="Arial" w:hAnsi="Arial" w:cs="Arial"/>
          <w:sz w:val="20"/>
          <w:szCs w:val="20"/>
        </w:rPr>
        <w:t xml:space="preserve">amend </w:t>
      </w:r>
      <w:r w:rsidR="00AE702B" w:rsidRPr="00CF590D">
        <w:rPr>
          <w:rFonts w:ascii="Arial" w:hAnsi="Arial" w:cs="Arial"/>
          <w:sz w:val="20"/>
          <w:szCs w:val="20"/>
        </w:rPr>
        <w:t xml:space="preserve">previous </w:t>
      </w:r>
      <w:r w:rsidR="004A285E">
        <w:rPr>
          <w:rFonts w:ascii="Arial" w:hAnsi="Arial" w:cs="Arial"/>
          <w:sz w:val="20"/>
          <w:szCs w:val="20"/>
        </w:rPr>
        <w:t>OSTTRA</w:t>
      </w:r>
      <w:r w:rsidR="00AE702B" w:rsidRPr="00C77A23">
        <w:rPr>
          <w:rFonts w:ascii="Arial" w:hAnsi="Arial" w:cs="Arial"/>
          <w:sz w:val="20"/>
          <w:szCs w:val="20"/>
        </w:rPr>
        <w:t xml:space="preserve"> SEF submissions.</w:t>
      </w:r>
      <w:r w:rsidR="004A25A1" w:rsidRPr="005B6D1D">
        <w:rPr>
          <w:rFonts w:ascii="Arial" w:hAnsi="Arial" w:cs="Arial"/>
          <w:sz w:val="20"/>
          <w:szCs w:val="20"/>
        </w:rPr>
        <w:t xml:space="preserve">  </w:t>
      </w:r>
    </w:p>
    <w:p w14:paraId="32E60239" w14:textId="4EB9625C" w:rsidR="001E72E3" w:rsidRDefault="004A285E" w:rsidP="00A47179">
      <w:pPr>
        <w:spacing w:before="1" w:after="120" w:line="240" w:lineRule="auto"/>
        <w:ind w:right="139"/>
        <w:jc w:val="both"/>
        <w:rPr>
          <w:rFonts w:ascii="Arial" w:hAnsi="Arial" w:cs="Arial"/>
          <w:sz w:val="20"/>
          <w:szCs w:val="20"/>
        </w:rPr>
      </w:pPr>
      <w:r>
        <w:rPr>
          <w:rFonts w:ascii="Arial" w:hAnsi="Arial" w:cs="Arial"/>
          <w:sz w:val="20"/>
          <w:szCs w:val="20"/>
        </w:rPr>
        <w:t>OSTTRA</w:t>
      </w:r>
      <w:r w:rsidR="009A67BA" w:rsidRPr="005B6D1D">
        <w:rPr>
          <w:rFonts w:ascii="Arial" w:hAnsi="Arial" w:cs="Arial"/>
          <w:sz w:val="20"/>
          <w:szCs w:val="20"/>
        </w:rPr>
        <w:t xml:space="preserve"> SEF reviewed the Swap Execution Facility core principles (“Core Principles”) as set forth in the Commodity Exchange Act (“CEA” or “Act”) and identified that the Rule Amendments may have some bearing on Core Principles</w:t>
      </w:r>
      <w:r w:rsidR="000A3283" w:rsidRPr="005B6D1D">
        <w:rPr>
          <w:rFonts w:ascii="Arial" w:hAnsi="Arial" w:cs="Arial"/>
          <w:sz w:val="20"/>
          <w:szCs w:val="20"/>
        </w:rPr>
        <w:t>, see analysis with core principles analysis table below.</w:t>
      </w:r>
      <w:r w:rsidR="009A67BA" w:rsidRPr="005B6D1D">
        <w:rPr>
          <w:rFonts w:ascii="Arial" w:hAnsi="Arial" w:cs="Arial"/>
          <w:sz w:val="20"/>
          <w:szCs w:val="20"/>
        </w:rPr>
        <w:t xml:space="preserve"> </w:t>
      </w:r>
      <w:r w:rsidR="004A25A1" w:rsidRPr="005B6D1D">
        <w:rPr>
          <w:rFonts w:ascii="Arial" w:hAnsi="Arial" w:cs="Arial"/>
          <w:sz w:val="20"/>
          <w:szCs w:val="20"/>
        </w:rPr>
        <w:t xml:space="preserve">As a result, </w:t>
      </w:r>
      <w:r>
        <w:rPr>
          <w:rFonts w:ascii="Arial" w:hAnsi="Arial" w:cs="Arial"/>
          <w:sz w:val="20"/>
          <w:szCs w:val="20"/>
        </w:rPr>
        <w:t>OSTTRA</w:t>
      </w:r>
      <w:r w:rsidR="004A25A1" w:rsidRPr="005B6D1D">
        <w:rPr>
          <w:rFonts w:ascii="Arial" w:hAnsi="Arial" w:cs="Arial"/>
          <w:sz w:val="20"/>
          <w:szCs w:val="20"/>
        </w:rPr>
        <w:t xml:space="preserve"> SEF is </w:t>
      </w:r>
      <w:r w:rsidR="005D7C99" w:rsidRPr="005B6D1D">
        <w:rPr>
          <w:rFonts w:ascii="Arial" w:hAnsi="Arial" w:cs="Arial"/>
          <w:sz w:val="20"/>
          <w:szCs w:val="20"/>
        </w:rPr>
        <w:t xml:space="preserve">certifying the Amendments </w:t>
      </w:r>
      <w:r w:rsidR="004E1564" w:rsidRPr="005B6D1D">
        <w:rPr>
          <w:rFonts w:ascii="Arial" w:hAnsi="Arial" w:cs="Arial"/>
          <w:sz w:val="20"/>
          <w:szCs w:val="20"/>
        </w:rPr>
        <w:t>c</w:t>
      </w:r>
      <w:r w:rsidR="004A25A1" w:rsidRPr="005B6D1D">
        <w:rPr>
          <w:rFonts w:ascii="Arial" w:hAnsi="Arial" w:cs="Arial"/>
          <w:sz w:val="20"/>
          <w:szCs w:val="20"/>
        </w:rPr>
        <w:t>ompl</w:t>
      </w:r>
      <w:r w:rsidR="004E1564" w:rsidRPr="005B6D1D">
        <w:rPr>
          <w:rFonts w:ascii="Arial" w:hAnsi="Arial" w:cs="Arial"/>
          <w:sz w:val="20"/>
          <w:szCs w:val="20"/>
        </w:rPr>
        <w:t>y</w:t>
      </w:r>
      <w:r w:rsidR="004A25A1" w:rsidRPr="005B6D1D">
        <w:rPr>
          <w:rFonts w:ascii="Arial" w:hAnsi="Arial" w:cs="Arial"/>
          <w:sz w:val="20"/>
          <w:szCs w:val="20"/>
        </w:rPr>
        <w:t xml:space="preserve"> with the requirements set forth </w:t>
      </w:r>
      <w:r w:rsidR="005D7C99" w:rsidRPr="005B6D1D">
        <w:rPr>
          <w:rFonts w:ascii="Arial" w:hAnsi="Arial" w:cs="Arial"/>
          <w:sz w:val="20"/>
          <w:szCs w:val="20"/>
        </w:rPr>
        <w:t>by the Commissions Regulation</w:t>
      </w:r>
      <w:r w:rsidR="004A25A1" w:rsidRPr="005B6D1D">
        <w:rPr>
          <w:rFonts w:ascii="Arial" w:hAnsi="Arial" w:cs="Arial"/>
          <w:sz w:val="20"/>
          <w:szCs w:val="20"/>
        </w:rPr>
        <w:t xml:space="preserve">.   </w:t>
      </w:r>
    </w:p>
    <w:p w14:paraId="3CCCDFA3" w14:textId="221250B2" w:rsidR="009B46E9" w:rsidRPr="005B6D1D" w:rsidRDefault="00865E04" w:rsidP="00A47179">
      <w:pPr>
        <w:spacing w:before="1" w:after="120" w:line="240" w:lineRule="auto"/>
        <w:ind w:right="139"/>
        <w:jc w:val="both"/>
        <w:rPr>
          <w:rFonts w:ascii="Arial" w:hAnsi="Arial" w:cs="Arial"/>
          <w:sz w:val="20"/>
          <w:szCs w:val="20"/>
        </w:rPr>
      </w:pPr>
      <w:r w:rsidRPr="005B6D1D">
        <w:rPr>
          <w:rFonts w:ascii="Arial" w:hAnsi="Arial" w:cs="Arial"/>
          <w:sz w:val="20"/>
          <w:szCs w:val="20"/>
        </w:rPr>
        <w:t>Appendix A</w:t>
      </w:r>
      <w:r w:rsidR="00D95B9B" w:rsidRPr="005B6D1D">
        <w:rPr>
          <w:rFonts w:ascii="Arial" w:hAnsi="Arial" w:cs="Arial"/>
          <w:sz w:val="20"/>
          <w:szCs w:val="20"/>
        </w:rPr>
        <w:t xml:space="preserve"> </w:t>
      </w:r>
      <w:r w:rsidR="00813BB8" w:rsidRPr="005B6D1D">
        <w:rPr>
          <w:rFonts w:ascii="Arial" w:hAnsi="Arial" w:cs="Arial"/>
          <w:sz w:val="20"/>
          <w:szCs w:val="20"/>
        </w:rPr>
        <w:t xml:space="preserve">and </w:t>
      </w:r>
      <w:r w:rsidR="00D95B9B" w:rsidRPr="005B6D1D">
        <w:rPr>
          <w:rFonts w:ascii="Arial" w:hAnsi="Arial" w:cs="Arial"/>
          <w:sz w:val="20"/>
          <w:szCs w:val="20"/>
        </w:rPr>
        <w:t xml:space="preserve">Appendix B provide the </w:t>
      </w:r>
      <w:r w:rsidR="00F86B48">
        <w:rPr>
          <w:rFonts w:ascii="Arial" w:hAnsi="Arial" w:cs="Arial"/>
          <w:sz w:val="20"/>
          <w:szCs w:val="20"/>
        </w:rPr>
        <w:t>Compliance Manual</w:t>
      </w:r>
      <w:r w:rsidR="00813BB8" w:rsidRPr="005B6D1D">
        <w:rPr>
          <w:rFonts w:ascii="Arial" w:hAnsi="Arial" w:cs="Arial"/>
          <w:sz w:val="20"/>
          <w:szCs w:val="20"/>
        </w:rPr>
        <w:t xml:space="preserve"> (</w:t>
      </w:r>
      <w:r w:rsidR="00FD3B4F" w:rsidRPr="005B6D1D">
        <w:rPr>
          <w:rFonts w:ascii="Arial" w:hAnsi="Arial" w:cs="Arial"/>
          <w:sz w:val="20"/>
          <w:szCs w:val="20"/>
        </w:rPr>
        <w:t>Exhibit</w:t>
      </w:r>
      <w:r w:rsidR="00813BB8" w:rsidRPr="005B6D1D">
        <w:rPr>
          <w:rFonts w:ascii="Arial" w:hAnsi="Arial" w:cs="Arial"/>
          <w:sz w:val="20"/>
          <w:szCs w:val="20"/>
        </w:rPr>
        <w:t xml:space="preserve"> M)</w:t>
      </w:r>
      <w:r w:rsidR="00D95B9B" w:rsidRPr="005B6D1D">
        <w:rPr>
          <w:rFonts w:ascii="Arial" w:hAnsi="Arial" w:cs="Arial"/>
          <w:sz w:val="20"/>
          <w:szCs w:val="20"/>
        </w:rPr>
        <w:t>, respectively</w:t>
      </w:r>
      <w:r w:rsidR="002E72A5" w:rsidRPr="005B6D1D">
        <w:rPr>
          <w:rFonts w:ascii="Arial" w:hAnsi="Arial" w:cs="Arial"/>
          <w:sz w:val="20"/>
          <w:szCs w:val="20"/>
        </w:rPr>
        <w:t xml:space="preserve"> in black</w:t>
      </w:r>
      <w:r w:rsidR="006F3BC9" w:rsidRPr="005B6D1D">
        <w:rPr>
          <w:rFonts w:ascii="Arial" w:hAnsi="Arial" w:cs="Arial"/>
          <w:sz w:val="20"/>
          <w:szCs w:val="20"/>
        </w:rPr>
        <w:t>l</w:t>
      </w:r>
      <w:r w:rsidR="002E72A5" w:rsidRPr="005B6D1D">
        <w:rPr>
          <w:rFonts w:ascii="Arial" w:hAnsi="Arial" w:cs="Arial"/>
          <w:sz w:val="20"/>
          <w:szCs w:val="20"/>
        </w:rPr>
        <w:t xml:space="preserve">ine </w:t>
      </w:r>
      <w:r w:rsidR="00813BB8" w:rsidRPr="005B6D1D">
        <w:rPr>
          <w:rFonts w:ascii="Arial" w:hAnsi="Arial" w:cs="Arial"/>
          <w:sz w:val="20"/>
          <w:szCs w:val="20"/>
        </w:rPr>
        <w:t xml:space="preserve">and clean </w:t>
      </w:r>
      <w:r w:rsidR="002E72A5" w:rsidRPr="005B6D1D">
        <w:rPr>
          <w:rFonts w:ascii="Arial" w:hAnsi="Arial" w:cs="Arial"/>
          <w:sz w:val="20"/>
          <w:szCs w:val="20"/>
        </w:rPr>
        <w:t>format</w:t>
      </w:r>
      <w:r w:rsidR="00813BB8" w:rsidRPr="005B6D1D">
        <w:rPr>
          <w:rFonts w:ascii="Arial" w:hAnsi="Arial" w:cs="Arial"/>
          <w:sz w:val="20"/>
          <w:szCs w:val="20"/>
        </w:rPr>
        <w:t>s</w:t>
      </w:r>
      <w:r w:rsidR="00D95B9B" w:rsidRPr="005B6D1D">
        <w:rPr>
          <w:rFonts w:ascii="Arial" w:hAnsi="Arial" w:cs="Arial"/>
          <w:sz w:val="20"/>
          <w:szCs w:val="20"/>
        </w:rPr>
        <w:t xml:space="preserve">. </w:t>
      </w:r>
      <w:r w:rsidR="00F86B48">
        <w:rPr>
          <w:rFonts w:ascii="Arial" w:hAnsi="Arial" w:cs="Arial"/>
          <w:sz w:val="20"/>
          <w:szCs w:val="20"/>
        </w:rPr>
        <w:t xml:space="preserve">Appendix C and D provide the listing of Directors and Officers (Exhibit B), </w:t>
      </w:r>
      <w:r w:rsidR="00F86B48" w:rsidRPr="005B6D1D">
        <w:rPr>
          <w:rFonts w:ascii="Arial" w:hAnsi="Arial" w:cs="Arial"/>
          <w:sz w:val="20"/>
          <w:szCs w:val="20"/>
        </w:rPr>
        <w:t xml:space="preserve">respectively in blackline and clean formats. </w:t>
      </w:r>
      <w:r w:rsidR="00D95B9B" w:rsidRPr="005B6D1D">
        <w:rPr>
          <w:rFonts w:ascii="Arial" w:hAnsi="Arial" w:cs="Arial"/>
          <w:sz w:val="20"/>
          <w:szCs w:val="20"/>
        </w:rPr>
        <w:t xml:space="preserve"> </w:t>
      </w:r>
      <w:r w:rsidR="00F33A5A">
        <w:rPr>
          <w:rFonts w:ascii="Arial" w:hAnsi="Arial" w:cs="Arial"/>
          <w:sz w:val="20"/>
          <w:szCs w:val="20"/>
        </w:rPr>
        <w:t xml:space="preserve">Appendix E and F provide the narrative describing the fitness standards of directors and outside directors (Exhibit C), </w:t>
      </w:r>
      <w:r w:rsidR="00F33A5A" w:rsidRPr="005B6D1D">
        <w:rPr>
          <w:rFonts w:ascii="Arial" w:hAnsi="Arial" w:cs="Arial"/>
          <w:sz w:val="20"/>
          <w:szCs w:val="20"/>
        </w:rPr>
        <w:t>respectively in blackline and clean formats</w:t>
      </w:r>
      <w:r w:rsidR="00F33A5A">
        <w:rPr>
          <w:rFonts w:ascii="Arial" w:hAnsi="Arial" w:cs="Arial"/>
          <w:sz w:val="20"/>
          <w:szCs w:val="20"/>
        </w:rPr>
        <w:t xml:space="preserve">. Appendix G and H, provide personnel qualifications descriptions (Exhibit E), </w:t>
      </w:r>
      <w:r w:rsidR="00F33A5A" w:rsidRPr="005B6D1D">
        <w:rPr>
          <w:rFonts w:ascii="Arial" w:hAnsi="Arial" w:cs="Arial"/>
          <w:sz w:val="20"/>
          <w:szCs w:val="20"/>
        </w:rPr>
        <w:t>respectively in blackline and clean formats</w:t>
      </w:r>
      <w:r w:rsidR="00F33A5A">
        <w:rPr>
          <w:rFonts w:ascii="Arial" w:hAnsi="Arial" w:cs="Arial"/>
          <w:sz w:val="20"/>
          <w:szCs w:val="20"/>
        </w:rPr>
        <w:t xml:space="preserve">. Appendix I and J, provide staffing requirements (Exhibit F), </w:t>
      </w:r>
      <w:r w:rsidR="00F33A5A" w:rsidRPr="005B6D1D">
        <w:rPr>
          <w:rFonts w:ascii="Arial" w:hAnsi="Arial" w:cs="Arial"/>
          <w:sz w:val="20"/>
          <w:szCs w:val="20"/>
        </w:rPr>
        <w:t>respectively in blackline and clean formats</w:t>
      </w:r>
      <w:r w:rsidR="00F33A5A">
        <w:rPr>
          <w:rFonts w:ascii="Arial" w:hAnsi="Arial" w:cs="Arial"/>
          <w:sz w:val="20"/>
          <w:szCs w:val="20"/>
        </w:rPr>
        <w:t xml:space="preserve">. Appendix K, provide </w:t>
      </w:r>
      <w:r w:rsidR="00896E8D">
        <w:rPr>
          <w:rFonts w:ascii="Arial" w:hAnsi="Arial" w:cs="Arial"/>
          <w:sz w:val="20"/>
          <w:szCs w:val="20"/>
        </w:rPr>
        <w:t>certificate of name change</w:t>
      </w:r>
      <w:r w:rsidR="00F33A5A">
        <w:rPr>
          <w:rFonts w:ascii="Arial" w:hAnsi="Arial" w:cs="Arial"/>
          <w:sz w:val="20"/>
          <w:szCs w:val="20"/>
        </w:rPr>
        <w:t xml:space="preserve"> (Exhibit G1a)</w:t>
      </w:r>
      <w:r w:rsidR="00C10717">
        <w:rPr>
          <w:rFonts w:ascii="Arial" w:hAnsi="Arial" w:cs="Arial"/>
          <w:sz w:val="20"/>
          <w:szCs w:val="20"/>
        </w:rPr>
        <w:t xml:space="preserve">. Appendix </w:t>
      </w:r>
      <w:r w:rsidR="00896E8D">
        <w:rPr>
          <w:rFonts w:ascii="Arial" w:hAnsi="Arial" w:cs="Arial"/>
          <w:sz w:val="20"/>
          <w:szCs w:val="20"/>
        </w:rPr>
        <w:t>L and M</w:t>
      </w:r>
      <w:r w:rsidR="00C10717">
        <w:rPr>
          <w:rFonts w:ascii="Arial" w:hAnsi="Arial" w:cs="Arial"/>
          <w:sz w:val="20"/>
          <w:szCs w:val="20"/>
        </w:rPr>
        <w:t xml:space="preserve">, provide listing of material legal proceedings (Exhibit H), </w:t>
      </w:r>
      <w:r w:rsidR="00C10717" w:rsidRPr="005B6D1D">
        <w:rPr>
          <w:rFonts w:ascii="Arial" w:hAnsi="Arial" w:cs="Arial"/>
          <w:sz w:val="20"/>
          <w:szCs w:val="20"/>
        </w:rPr>
        <w:t>respectively in blackline and clean formats</w:t>
      </w:r>
      <w:r w:rsidR="00C10717">
        <w:rPr>
          <w:rFonts w:ascii="Arial" w:hAnsi="Arial" w:cs="Arial"/>
          <w:sz w:val="20"/>
          <w:szCs w:val="20"/>
        </w:rPr>
        <w:t xml:space="preserve">. Appendix </w:t>
      </w:r>
      <w:r w:rsidR="00896E8D">
        <w:rPr>
          <w:rFonts w:ascii="Arial" w:hAnsi="Arial" w:cs="Arial"/>
          <w:sz w:val="20"/>
          <w:szCs w:val="20"/>
        </w:rPr>
        <w:t>N and O</w:t>
      </w:r>
      <w:r w:rsidR="00C10717">
        <w:rPr>
          <w:rFonts w:ascii="Arial" w:hAnsi="Arial" w:cs="Arial"/>
          <w:sz w:val="20"/>
          <w:szCs w:val="20"/>
        </w:rPr>
        <w:t xml:space="preserve">, provide SEF Affiliate financials (Exhibit J), </w:t>
      </w:r>
      <w:r w:rsidR="00C10717" w:rsidRPr="005B6D1D">
        <w:rPr>
          <w:rFonts w:ascii="Arial" w:hAnsi="Arial" w:cs="Arial"/>
          <w:sz w:val="20"/>
          <w:szCs w:val="20"/>
        </w:rPr>
        <w:t>respectively in blackline and clean formats</w:t>
      </w:r>
      <w:r w:rsidR="00C10717">
        <w:rPr>
          <w:rFonts w:ascii="Arial" w:hAnsi="Arial" w:cs="Arial"/>
          <w:sz w:val="20"/>
          <w:szCs w:val="20"/>
        </w:rPr>
        <w:t xml:space="preserve">. Appendix </w:t>
      </w:r>
      <w:r w:rsidR="00896E8D">
        <w:rPr>
          <w:rFonts w:ascii="Arial" w:hAnsi="Arial" w:cs="Arial"/>
          <w:sz w:val="20"/>
          <w:szCs w:val="20"/>
        </w:rPr>
        <w:t>P</w:t>
      </w:r>
      <w:r w:rsidR="00C10717">
        <w:rPr>
          <w:rFonts w:ascii="Arial" w:hAnsi="Arial" w:cs="Arial"/>
          <w:sz w:val="20"/>
          <w:szCs w:val="20"/>
        </w:rPr>
        <w:t xml:space="preserve"> </w:t>
      </w:r>
      <w:r w:rsidR="00675311">
        <w:rPr>
          <w:rFonts w:ascii="Arial" w:hAnsi="Arial" w:cs="Arial"/>
          <w:sz w:val="20"/>
          <w:szCs w:val="20"/>
        </w:rPr>
        <w:t>provides Form 10k (Exhibit H1)</w:t>
      </w:r>
      <w:r w:rsidR="00C10717">
        <w:rPr>
          <w:rFonts w:ascii="Arial" w:hAnsi="Arial" w:cs="Arial"/>
          <w:sz w:val="20"/>
          <w:szCs w:val="20"/>
        </w:rPr>
        <w:t xml:space="preserve">. Confidential treatment is requested for Appendix A – </w:t>
      </w:r>
      <w:r w:rsidR="00896E8D">
        <w:rPr>
          <w:rFonts w:ascii="Arial" w:hAnsi="Arial" w:cs="Arial"/>
          <w:sz w:val="20"/>
          <w:szCs w:val="20"/>
        </w:rPr>
        <w:t>P</w:t>
      </w:r>
      <w:r w:rsidR="00C10717">
        <w:rPr>
          <w:rFonts w:ascii="Arial" w:hAnsi="Arial" w:cs="Arial"/>
          <w:sz w:val="20"/>
          <w:szCs w:val="20"/>
        </w:rPr>
        <w:t xml:space="preserve">. </w:t>
      </w:r>
    </w:p>
    <w:p w14:paraId="7F205201" w14:textId="361538D4" w:rsidR="004A25A1" w:rsidRPr="00666B86" w:rsidRDefault="00E84853" w:rsidP="00A47179">
      <w:pPr>
        <w:spacing w:line="240" w:lineRule="auto"/>
        <w:jc w:val="both"/>
        <w:rPr>
          <w:rFonts w:ascii="Arial" w:hAnsi="Arial"/>
          <w:sz w:val="20"/>
          <w:lang w:bidi="en-US"/>
        </w:rPr>
      </w:pPr>
      <w:r w:rsidRPr="005B6D1D">
        <w:rPr>
          <w:rFonts w:ascii="Arial" w:eastAsia="Times New Roman" w:hAnsi="Arial" w:cs="Arial"/>
          <w:sz w:val="20"/>
          <w:szCs w:val="20"/>
        </w:rPr>
        <w:t>Pursuant to Section 5c(c) of the Commodity Exchange Act</w:t>
      </w:r>
      <w:r w:rsidR="001F2FB7" w:rsidRPr="005B6D1D">
        <w:rPr>
          <w:rFonts w:ascii="Arial" w:eastAsia="Times New Roman" w:hAnsi="Arial" w:cs="Arial"/>
          <w:sz w:val="20"/>
          <w:szCs w:val="20"/>
        </w:rPr>
        <w:t xml:space="preserve"> (the “Act”) and Regulation</w:t>
      </w:r>
      <w:r w:rsidR="00725358" w:rsidRPr="005B6D1D">
        <w:rPr>
          <w:rFonts w:ascii="Arial" w:eastAsia="Times New Roman" w:hAnsi="Arial" w:cs="Arial"/>
          <w:sz w:val="20"/>
          <w:szCs w:val="20"/>
        </w:rPr>
        <w:t>s 37.3(b)3</w:t>
      </w:r>
      <w:r w:rsidRPr="005B6D1D">
        <w:rPr>
          <w:rFonts w:ascii="Arial" w:eastAsia="Times New Roman" w:hAnsi="Arial" w:cs="Arial"/>
          <w:sz w:val="20"/>
          <w:szCs w:val="20"/>
        </w:rPr>
        <w:t xml:space="preserve">, </w:t>
      </w:r>
      <w:r w:rsidR="00407215">
        <w:rPr>
          <w:rFonts w:ascii="Arial" w:eastAsia="Times New Roman" w:hAnsi="Arial" w:cs="Arial"/>
          <w:sz w:val="20"/>
          <w:szCs w:val="20"/>
        </w:rPr>
        <w:t>OSTTRA</w:t>
      </w:r>
      <w:r w:rsidR="003D10D4" w:rsidRPr="005B6D1D">
        <w:rPr>
          <w:rFonts w:ascii="Arial" w:eastAsia="Times New Roman" w:hAnsi="Arial" w:cs="Arial"/>
          <w:sz w:val="20"/>
          <w:szCs w:val="20"/>
        </w:rPr>
        <w:t xml:space="preserve"> </w:t>
      </w:r>
      <w:r w:rsidR="001714BA" w:rsidRPr="005B6D1D">
        <w:rPr>
          <w:rFonts w:ascii="Arial" w:eastAsia="Times New Roman" w:hAnsi="Arial" w:cs="Arial"/>
          <w:sz w:val="20"/>
          <w:szCs w:val="20"/>
        </w:rPr>
        <w:t>SEF hereby certifies</w:t>
      </w:r>
      <w:r w:rsidR="001714BA" w:rsidRPr="001714BA">
        <w:rPr>
          <w:rFonts w:ascii="Arial" w:eastAsia="Times New Roman" w:hAnsi="Arial" w:cs="Arial"/>
          <w:sz w:val="20"/>
          <w:szCs w:val="20"/>
        </w:rPr>
        <w:t xml:space="preserve"> that</w:t>
      </w:r>
      <w:r w:rsidR="004A25A1">
        <w:rPr>
          <w:rFonts w:ascii="Arial" w:eastAsia="Times New Roman" w:hAnsi="Arial" w:cs="Arial"/>
          <w:sz w:val="20"/>
          <w:szCs w:val="20"/>
        </w:rPr>
        <w:t xml:space="preserve"> </w:t>
      </w:r>
      <w:r w:rsidR="004E1564">
        <w:rPr>
          <w:rFonts w:ascii="Arial" w:eastAsia="Times New Roman" w:hAnsi="Arial" w:cs="Arial"/>
          <w:sz w:val="20"/>
          <w:szCs w:val="20"/>
        </w:rPr>
        <w:t>the</w:t>
      </w:r>
      <w:r w:rsidR="004A25A1" w:rsidRPr="00666B86">
        <w:rPr>
          <w:rFonts w:ascii="Arial" w:hAnsi="Arial"/>
          <w:sz w:val="20"/>
          <w:lang w:bidi="en-US"/>
        </w:rPr>
        <w:t xml:space="preserve"> </w:t>
      </w:r>
      <w:r w:rsidR="003D10D4">
        <w:rPr>
          <w:rFonts w:ascii="Arial" w:hAnsi="Arial"/>
          <w:sz w:val="20"/>
          <w:lang w:bidi="en-US"/>
        </w:rPr>
        <w:t>Amendments</w:t>
      </w:r>
      <w:r w:rsidR="004A25A1" w:rsidRPr="00666B86">
        <w:rPr>
          <w:rFonts w:ascii="Arial" w:hAnsi="Arial"/>
          <w:sz w:val="20"/>
          <w:lang w:bidi="en-US"/>
        </w:rPr>
        <w:t xml:space="preserve"> comply with the Act</w:t>
      </w:r>
      <w:r w:rsidR="007F5F70">
        <w:rPr>
          <w:rFonts w:ascii="Arial" w:hAnsi="Arial"/>
          <w:sz w:val="20"/>
          <w:lang w:bidi="en-US"/>
        </w:rPr>
        <w:t xml:space="preserve">, as amended, </w:t>
      </w:r>
      <w:r w:rsidR="004A25A1" w:rsidRPr="00666B86">
        <w:rPr>
          <w:rFonts w:ascii="Arial" w:hAnsi="Arial"/>
          <w:sz w:val="20"/>
          <w:lang w:bidi="en-US"/>
        </w:rPr>
        <w:t xml:space="preserve">and </w:t>
      </w:r>
      <w:r w:rsidR="004E1564">
        <w:rPr>
          <w:rFonts w:ascii="Arial" w:hAnsi="Arial"/>
          <w:sz w:val="20"/>
          <w:lang w:bidi="en-US"/>
        </w:rPr>
        <w:t xml:space="preserve">the Commission’s </w:t>
      </w:r>
      <w:r w:rsidR="004A25A1" w:rsidRPr="00666B86">
        <w:rPr>
          <w:rFonts w:ascii="Arial" w:hAnsi="Arial"/>
          <w:sz w:val="20"/>
          <w:lang w:bidi="en-US"/>
        </w:rPr>
        <w:t>regulations thereunder. There were no substantive opposing views to this proposal.</w:t>
      </w:r>
    </w:p>
    <w:p w14:paraId="78A66F76" w14:textId="7545C12B" w:rsidR="004E1564" w:rsidRDefault="00407215" w:rsidP="00A47179">
      <w:pPr>
        <w:spacing w:after="0" w:line="240" w:lineRule="auto"/>
        <w:jc w:val="both"/>
        <w:rPr>
          <w:rFonts w:ascii="Arial" w:eastAsia="Times New Roman" w:hAnsi="Arial" w:cs="Arial"/>
          <w:sz w:val="20"/>
          <w:szCs w:val="20"/>
        </w:rPr>
      </w:pPr>
      <w:bookmarkStart w:id="2" w:name="OLE_LINK3"/>
      <w:bookmarkStart w:id="3" w:name="OLE_LINK4"/>
      <w:r>
        <w:rPr>
          <w:rFonts w:ascii="Arial" w:eastAsia="Times New Roman" w:hAnsi="Arial" w:cs="Arial"/>
          <w:sz w:val="20"/>
          <w:szCs w:val="20"/>
        </w:rPr>
        <w:t>OSTTRA SEF</w:t>
      </w:r>
      <w:r w:rsidR="003722C5" w:rsidRPr="001714BA">
        <w:rPr>
          <w:rFonts w:ascii="Arial" w:eastAsia="Times New Roman" w:hAnsi="Arial" w:cs="Arial"/>
          <w:sz w:val="20"/>
          <w:szCs w:val="20"/>
        </w:rPr>
        <w:t xml:space="preserve"> certifies that this submission has been concurrently posted </w:t>
      </w:r>
      <w:r w:rsidR="00C208D2" w:rsidRPr="001714BA">
        <w:rPr>
          <w:rFonts w:ascii="Arial" w:eastAsia="Times New Roman" w:hAnsi="Arial" w:cs="Arial"/>
          <w:sz w:val="20"/>
          <w:szCs w:val="20"/>
        </w:rPr>
        <w:t xml:space="preserve">on </w:t>
      </w:r>
      <w:r w:rsidR="00E400CA" w:rsidRPr="001714BA">
        <w:rPr>
          <w:rFonts w:ascii="Arial" w:eastAsia="Times New Roman" w:hAnsi="Arial" w:cs="Arial"/>
          <w:sz w:val="20"/>
          <w:szCs w:val="20"/>
        </w:rPr>
        <w:t>its</w:t>
      </w:r>
      <w:r w:rsidR="003722C5" w:rsidRPr="001714BA">
        <w:rPr>
          <w:rFonts w:ascii="Arial" w:eastAsia="Times New Roman" w:hAnsi="Arial" w:cs="Arial"/>
          <w:sz w:val="20"/>
          <w:szCs w:val="20"/>
        </w:rPr>
        <w:t xml:space="preserve"> website at</w:t>
      </w:r>
      <w:r w:rsidR="009B4299">
        <w:rPr>
          <w:rFonts w:ascii="Arial" w:eastAsia="Times New Roman" w:hAnsi="Arial" w:cs="Arial"/>
          <w:sz w:val="20"/>
          <w:szCs w:val="20"/>
        </w:rPr>
        <w:t xml:space="preserve"> </w:t>
      </w:r>
      <w:bookmarkEnd w:id="2"/>
      <w:bookmarkEnd w:id="3"/>
      <w:r w:rsidR="00892EBC">
        <w:rPr>
          <w:rFonts w:ascii="Arial" w:eastAsia="Times New Roman" w:hAnsi="Arial" w:cs="Arial"/>
          <w:sz w:val="20"/>
          <w:szCs w:val="20"/>
        </w:rPr>
        <w:fldChar w:fldCharType="begin"/>
      </w:r>
      <w:r w:rsidR="00892EBC">
        <w:rPr>
          <w:rFonts w:ascii="Arial" w:eastAsia="Times New Roman" w:hAnsi="Arial" w:cs="Arial"/>
          <w:sz w:val="20"/>
          <w:szCs w:val="20"/>
        </w:rPr>
        <w:instrText>HYPERLINK "</w:instrText>
      </w:r>
      <w:r w:rsidR="00892EBC" w:rsidRPr="00892EBC">
        <w:rPr>
          <w:rFonts w:ascii="Arial" w:eastAsia="Times New Roman" w:hAnsi="Arial" w:cs="Arial"/>
          <w:sz w:val="20"/>
          <w:szCs w:val="20"/>
        </w:rPr>
        <w:instrText>https://osttra.com/osttra-sef/rule-filings/</w:instrText>
      </w:r>
      <w:r w:rsidR="00892EBC">
        <w:rPr>
          <w:rFonts w:ascii="Arial" w:eastAsia="Times New Roman" w:hAnsi="Arial" w:cs="Arial"/>
          <w:sz w:val="20"/>
          <w:szCs w:val="20"/>
        </w:rPr>
        <w:instrText>"</w:instrText>
      </w:r>
      <w:r w:rsidR="00892EBC">
        <w:rPr>
          <w:rFonts w:ascii="Arial" w:eastAsia="Times New Roman" w:hAnsi="Arial" w:cs="Arial"/>
          <w:sz w:val="20"/>
          <w:szCs w:val="20"/>
        </w:rPr>
        <w:fldChar w:fldCharType="separate"/>
      </w:r>
      <w:r w:rsidR="00892EBC" w:rsidRPr="00C957C7">
        <w:rPr>
          <w:rStyle w:val="Hyperlink"/>
          <w:rFonts w:ascii="Arial" w:eastAsia="Times New Roman" w:hAnsi="Arial" w:cs="Arial"/>
          <w:sz w:val="20"/>
          <w:szCs w:val="20"/>
        </w:rPr>
        <w:t>https://osttra.com/osttra-sef/rule-filings/</w:t>
      </w:r>
      <w:r w:rsidR="00892EBC">
        <w:rPr>
          <w:rFonts w:ascii="Arial" w:eastAsia="Times New Roman" w:hAnsi="Arial" w:cs="Arial"/>
          <w:sz w:val="20"/>
          <w:szCs w:val="20"/>
        </w:rPr>
        <w:fldChar w:fldCharType="end"/>
      </w:r>
      <w:r w:rsidR="00892EBC">
        <w:rPr>
          <w:rFonts w:ascii="Arial" w:eastAsia="Times New Roman" w:hAnsi="Arial" w:cs="Arial"/>
          <w:sz w:val="20"/>
          <w:szCs w:val="20"/>
        </w:rPr>
        <w:t xml:space="preserve">. </w:t>
      </w:r>
    </w:p>
    <w:p w14:paraId="6ACFEC53" w14:textId="77777777" w:rsidR="004E1564" w:rsidRDefault="004E1564" w:rsidP="00A47179">
      <w:pPr>
        <w:spacing w:after="0" w:line="240" w:lineRule="auto"/>
        <w:jc w:val="both"/>
        <w:rPr>
          <w:rFonts w:ascii="Arial" w:eastAsia="Times New Roman" w:hAnsi="Arial" w:cs="Arial"/>
          <w:sz w:val="20"/>
          <w:szCs w:val="20"/>
        </w:rPr>
      </w:pPr>
    </w:p>
    <w:p w14:paraId="1EADF74C" w14:textId="60E0A0B7" w:rsidR="00B43392" w:rsidRPr="001714BA" w:rsidRDefault="00B43392" w:rsidP="00A47179">
      <w:pPr>
        <w:spacing w:after="0" w:line="240" w:lineRule="auto"/>
        <w:jc w:val="both"/>
        <w:rPr>
          <w:rFonts w:ascii="Arial" w:eastAsia="Arial" w:hAnsi="Arial" w:cs="Arial"/>
          <w:sz w:val="20"/>
          <w:szCs w:val="20"/>
        </w:rPr>
      </w:pPr>
      <w:r w:rsidRPr="001714BA">
        <w:rPr>
          <w:rFonts w:ascii="Arial" w:eastAsia="Arial" w:hAnsi="Arial" w:cs="Arial"/>
          <w:spacing w:val="-1"/>
          <w:sz w:val="20"/>
          <w:szCs w:val="20"/>
        </w:rPr>
        <w:t>I</w:t>
      </w:r>
      <w:r w:rsidRPr="001714BA">
        <w:rPr>
          <w:rFonts w:ascii="Arial" w:eastAsia="Arial" w:hAnsi="Arial" w:cs="Arial"/>
          <w:sz w:val="20"/>
          <w:szCs w:val="20"/>
        </w:rPr>
        <w:t>f</w:t>
      </w:r>
      <w:r w:rsidRPr="001714BA">
        <w:rPr>
          <w:rFonts w:ascii="Arial" w:eastAsia="Arial" w:hAnsi="Arial" w:cs="Arial"/>
          <w:spacing w:val="-2"/>
          <w:sz w:val="20"/>
          <w:szCs w:val="20"/>
        </w:rPr>
        <w:t xml:space="preserve"> </w:t>
      </w:r>
      <w:r w:rsidRPr="001714BA">
        <w:rPr>
          <w:rFonts w:ascii="Arial" w:eastAsia="Arial" w:hAnsi="Arial" w:cs="Arial"/>
          <w:spacing w:val="-7"/>
          <w:sz w:val="20"/>
          <w:szCs w:val="20"/>
        </w:rPr>
        <w:t>y</w:t>
      </w:r>
      <w:r w:rsidRPr="001714BA">
        <w:rPr>
          <w:rFonts w:ascii="Arial" w:eastAsia="Arial" w:hAnsi="Arial" w:cs="Arial"/>
          <w:spacing w:val="2"/>
          <w:sz w:val="20"/>
          <w:szCs w:val="20"/>
        </w:rPr>
        <w:t>o</w:t>
      </w:r>
      <w:r w:rsidRPr="001714BA">
        <w:rPr>
          <w:rFonts w:ascii="Arial" w:eastAsia="Arial" w:hAnsi="Arial" w:cs="Arial"/>
          <w:sz w:val="20"/>
          <w:szCs w:val="20"/>
        </w:rPr>
        <w:t>u</w:t>
      </w:r>
      <w:r w:rsidRPr="001714BA">
        <w:rPr>
          <w:rFonts w:ascii="Arial" w:eastAsia="Arial" w:hAnsi="Arial" w:cs="Arial"/>
          <w:spacing w:val="-6"/>
          <w:sz w:val="20"/>
          <w:szCs w:val="20"/>
        </w:rPr>
        <w:t xml:space="preserve"> </w:t>
      </w:r>
      <w:r w:rsidRPr="001714BA">
        <w:rPr>
          <w:rFonts w:ascii="Arial" w:eastAsia="Arial" w:hAnsi="Arial" w:cs="Arial"/>
          <w:sz w:val="20"/>
          <w:szCs w:val="20"/>
        </w:rPr>
        <w:t>r</w:t>
      </w:r>
      <w:r w:rsidRPr="001714BA">
        <w:rPr>
          <w:rFonts w:ascii="Arial" w:eastAsia="Arial" w:hAnsi="Arial" w:cs="Arial"/>
          <w:spacing w:val="-1"/>
          <w:sz w:val="20"/>
          <w:szCs w:val="20"/>
        </w:rPr>
        <w:t>e</w:t>
      </w:r>
      <w:r w:rsidRPr="001714BA">
        <w:rPr>
          <w:rFonts w:ascii="Arial" w:eastAsia="Arial" w:hAnsi="Arial" w:cs="Arial"/>
          <w:spacing w:val="2"/>
          <w:sz w:val="20"/>
          <w:szCs w:val="20"/>
        </w:rPr>
        <w:t>q</w:t>
      </w:r>
      <w:r w:rsidRPr="001714BA">
        <w:rPr>
          <w:rFonts w:ascii="Arial" w:eastAsia="Arial" w:hAnsi="Arial" w:cs="Arial"/>
          <w:spacing w:val="-1"/>
          <w:sz w:val="20"/>
          <w:szCs w:val="20"/>
        </w:rPr>
        <w:t>ui</w:t>
      </w:r>
      <w:r w:rsidRPr="001714BA">
        <w:rPr>
          <w:rFonts w:ascii="Arial" w:eastAsia="Arial" w:hAnsi="Arial" w:cs="Arial"/>
          <w:sz w:val="20"/>
          <w:szCs w:val="20"/>
        </w:rPr>
        <w:t>re</w:t>
      </w:r>
      <w:r w:rsidRPr="001714BA">
        <w:rPr>
          <w:rFonts w:ascii="Arial" w:eastAsia="Arial" w:hAnsi="Arial" w:cs="Arial"/>
          <w:spacing w:val="-5"/>
          <w:sz w:val="20"/>
          <w:szCs w:val="20"/>
        </w:rPr>
        <w:t xml:space="preserve"> </w:t>
      </w:r>
      <w:r w:rsidRPr="001714BA">
        <w:rPr>
          <w:rFonts w:ascii="Arial" w:eastAsia="Arial" w:hAnsi="Arial" w:cs="Arial"/>
          <w:spacing w:val="-1"/>
          <w:sz w:val="20"/>
          <w:szCs w:val="20"/>
        </w:rPr>
        <w:t>a</w:t>
      </w:r>
      <w:r w:rsidRPr="001714BA">
        <w:rPr>
          <w:rFonts w:ascii="Arial" w:eastAsia="Arial" w:hAnsi="Arial" w:cs="Arial"/>
          <w:spacing w:val="4"/>
          <w:sz w:val="20"/>
          <w:szCs w:val="20"/>
        </w:rPr>
        <w:t>n</w:t>
      </w:r>
      <w:r w:rsidRPr="001714BA">
        <w:rPr>
          <w:rFonts w:ascii="Arial" w:eastAsia="Arial" w:hAnsi="Arial" w:cs="Arial"/>
          <w:sz w:val="20"/>
          <w:szCs w:val="20"/>
        </w:rPr>
        <w:t>y</w:t>
      </w:r>
      <w:r w:rsidRPr="001714BA">
        <w:rPr>
          <w:rFonts w:ascii="Arial" w:eastAsia="Arial" w:hAnsi="Arial" w:cs="Arial"/>
          <w:spacing w:val="-9"/>
          <w:sz w:val="20"/>
          <w:szCs w:val="20"/>
        </w:rPr>
        <w:t xml:space="preserve"> </w:t>
      </w:r>
      <w:r w:rsidRPr="001714BA">
        <w:rPr>
          <w:rFonts w:ascii="Arial" w:eastAsia="Arial" w:hAnsi="Arial" w:cs="Arial"/>
          <w:spacing w:val="2"/>
          <w:sz w:val="20"/>
          <w:szCs w:val="20"/>
        </w:rPr>
        <w:t>a</w:t>
      </w:r>
      <w:r w:rsidRPr="001714BA">
        <w:rPr>
          <w:rFonts w:ascii="Arial" w:eastAsia="Arial" w:hAnsi="Arial" w:cs="Arial"/>
          <w:spacing w:val="-1"/>
          <w:sz w:val="20"/>
          <w:szCs w:val="20"/>
        </w:rPr>
        <w:t>d</w:t>
      </w:r>
      <w:r w:rsidRPr="001714BA">
        <w:rPr>
          <w:rFonts w:ascii="Arial" w:eastAsia="Arial" w:hAnsi="Arial" w:cs="Arial"/>
          <w:spacing w:val="2"/>
          <w:sz w:val="20"/>
          <w:szCs w:val="20"/>
        </w:rPr>
        <w:t>d</w:t>
      </w:r>
      <w:r w:rsidRPr="001714BA">
        <w:rPr>
          <w:rFonts w:ascii="Arial" w:eastAsia="Arial" w:hAnsi="Arial" w:cs="Arial"/>
          <w:spacing w:val="-1"/>
          <w:sz w:val="20"/>
          <w:szCs w:val="20"/>
        </w:rPr>
        <w:t>it</w:t>
      </w:r>
      <w:r w:rsidRPr="001714BA">
        <w:rPr>
          <w:rFonts w:ascii="Arial" w:eastAsia="Arial" w:hAnsi="Arial" w:cs="Arial"/>
          <w:spacing w:val="1"/>
          <w:sz w:val="20"/>
          <w:szCs w:val="20"/>
        </w:rPr>
        <w:t>i</w:t>
      </w:r>
      <w:r w:rsidRPr="001714BA">
        <w:rPr>
          <w:rFonts w:ascii="Arial" w:eastAsia="Arial" w:hAnsi="Arial" w:cs="Arial"/>
          <w:spacing w:val="-1"/>
          <w:sz w:val="20"/>
          <w:szCs w:val="20"/>
        </w:rPr>
        <w:t>on</w:t>
      </w:r>
      <w:r w:rsidRPr="001714BA">
        <w:rPr>
          <w:rFonts w:ascii="Arial" w:eastAsia="Arial" w:hAnsi="Arial" w:cs="Arial"/>
          <w:spacing w:val="2"/>
          <w:sz w:val="20"/>
          <w:szCs w:val="20"/>
        </w:rPr>
        <w:t>a</w:t>
      </w:r>
      <w:r w:rsidRPr="001714BA">
        <w:rPr>
          <w:rFonts w:ascii="Arial" w:eastAsia="Arial" w:hAnsi="Arial" w:cs="Arial"/>
          <w:sz w:val="20"/>
          <w:szCs w:val="20"/>
        </w:rPr>
        <w:t>l</w:t>
      </w:r>
      <w:r w:rsidRPr="001714BA">
        <w:rPr>
          <w:rFonts w:ascii="Arial" w:eastAsia="Arial" w:hAnsi="Arial" w:cs="Arial"/>
          <w:spacing w:val="-7"/>
          <w:sz w:val="20"/>
          <w:szCs w:val="20"/>
        </w:rPr>
        <w:t xml:space="preserve"> </w:t>
      </w:r>
      <w:r w:rsidRPr="001714BA">
        <w:rPr>
          <w:rFonts w:ascii="Arial" w:eastAsia="Arial" w:hAnsi="Arial" w:cs="Arial"/>
          <w:spacing w:val="1"/>
          <w:sz w:val="20"/>
          <w:szCs w:val="20"/>
        </w:rPr>
        <w:t>i</w:t>
      </w:r>
      <w:r w:rsidRPr="001714BA">
        <w:rPr>
          <w:rFonts w:ascii="Arial" w:eastAsia="Arial" w:hAnsi="Arial" w:cs="Arial"/>
          <w:spacing w:val="-1"/>
          <w:sz w:val="20"/>
          <w:szCs w:val="20"/>
        </w:rPr>
        <w:t>n</w:t>
      </w:r>
      <w:r w:rsidRPr="001714BA">
        <w:rPr>
          <w:rFonts w:ascii="Arial" w:eastAsia="Arial" w:hAnsi="Arial" w:cs="Arial"/>
          <w:spacing w:val="2"/>
          <w:sz w:val="20"/>
          <w:szCs w:val="20"/>
        </w:rPr>
        <w:t>f</w:t>
      </w:r>
      <w:r w:rsidRPr="001714BA">
        <w:rPr>
          <w:rFonts w:ascii="Arial" w:eastAsia="Arial" w:hAnsi="Arial" w:cs="Arial"/>
          <w:spacing w:val="-1"/>
          <w:sz w:val="20"/>
          <w:szCs w:val="20"/>
        </w:rPr>
        <w:t>o</w:t>
      </w:r>
      <w:r w:rsidRPr="001714BA">
        <w:rPr>
          <w:rFonts w:ascii="Arial" w:eastAsia="Arial" w:hAnsi="Arial" w:cs="Arial"/>
          <w:spacing w:val="-2"/>
          <w:sz w:val="20"/>
          <w:szCs w:val="20"/>
        </w:rPr>
        <w:t>r</w:t>
      </w:r>
      <w:r w:rsidRPr="001714BA">
        <w:rPr>
          <w:rFonts w:ascii="Arial" w:eastAsia="Arial" w:hAnsi="Arial" w:cs="Arial"/>
          <w:spacing w:val="4"/>
          <w:sz w:val="20"/>
          <w:szCs w:val="20"/>
        </w:rPr>
        <w:t>m</w:t>
      </w:r>
      <w:r w:rsidRPr="001714BA">
        <w:rPr>
          <w:rFonts w:ascii="Arial" w:eastAsia="Arial" w:hAnsi="Arial" w:cs="Arial"/>
          <w:spacing w:val="-1"/>
          <w:sz w:val="20"/>
          <w:szCs w:val="20"/>
        </w:rPr>
        <w:t>atio</w:t>
      </w:r>
      <w:r w:rsidRPr="001714BA">
        <w:rPr>
          <w:rFonts w:ascii="Arial" w:eastAsia="Arial" w:hAnsi="Arial" w:cs="Arial"/>
          <w:sz w:val="20"/>
          <w:szCs w:val="20"/>
        </w:rPr>
        <w:t>n</w:t>
      </w:r>
      <w:r w:rsidRPr="001714BA">
        <w:rPr>
          <w:rFonts w:ascii="Arial" w:eastAsia="Arial" w:hAnsi="Arial" w:cs="Arial"/>
          <w:spacing w:val="-6"/>
          <w:sz w:val="20"/>
          <w:szCs w:val="20"/>
        </w:rPr>
        <w:t xml:space="preserve"> </w:t>
      </w:r>
      <w:r w:rsidRPr="001714BA">
        <w:rPr>
          <w:rFonts w:ascii="Arial" w:eastAsia="Arial" w:hAnsi="Arial" w:cs="Arial"/>
          <w:sz w:val="20"/>
          <w:szCs w:val="20"/>
        </w:rPr>
        <w:t>r</w:t>
      </w:r>
      <w:r w:rsidRPr="001714BA">
        <w:rPr>
          <w:rFonts w:ascii="Arial" w:eastAsia="Arial" w:hAnsi="Arial" w:cs="Arial"/>
          <w:spacing w:val="2"/>
          <w:sz w:val="20"/>
          <w:szCs w:val="20"/>
        </w:rPr>
        <w:t>e</w:t>
      </w:r>
      <w:r w:rsidRPr="001714BA">
        <w:rPr>
          <w:rFonts w:ascii="Arial" w:eastAsia="Arial" w:hAnsi="Arial" w:cs="Arial"/>
          <w:spacing w:val="-1"/>
          <w:sz w:val="20"/>
          <w:szCs w:val="20"/>
        </w:rPr>
        <w:t>ga</w:t>
      </w:r>
      <w:r w:rsidRPr="001714BA">
        <w:rPr>
          <w:rFonts w:ascii="Arial" w:eastAsia="Arial" w:hAnsi="Arial" w:cs="Arial"/>
          <w:sz w:val="20"/>
          <w:szCs w:val="20"/>
        </w:rPr>
        <w:t>r</w:t>
      </w:r>
      <w:r w:rsidRPr="001714BA">
        <w:rPr>
          <w:rFonts w:ascii="Arial" w:eastAsia="Arial" w:hAnsi="Arial" w:cs="Arial"/>
          <w:spacing w:val="2"/>
          <w:sz w:val="20"/>
          <w:szCs w:val="20"/>
        </w:rPr>
        <w:t>d</w:t>
      </w:r>
      <w:r w:rsidRPr="001714BA">
        <w:rPr>
          <w:rFonts w:ascii="Arial" w:eastAsia="Arial" w:hAnsi="Arial" w:cs="Arial"/>
          <w:spacing w:val="-1"/>
          <w:sz w:val="20"/>
          <w:szCs w:val="20"/>
        </w:rPr>
        <w:t>in</w:t>
      </w:r>
      <w:r w:rsidRPr="001714BA">
        <w:rPr>
          <w:rFonts w:ascii="Arial" w:eastAsia="Arial" w:hAnsi="Arial" w:cs="Arial"/>
          <w:sz w:val="20"/>
          <w:szCs w:val="20"/>
        </w:rPr>
        <w:t>g</w:t>
      </w:r>
      <w:r w:rsidRPr="001714BA">
        <w:rPr>
          <w:rFonts w:ascii="Arial" w:eastAsia="Arial" w:hAnsi="Arial" w:cs="Arial"/>
          <w:spacing w:val="-4"/>
          <w:sz w:val="20"/>
          <w:szCs w:val="20"/>
        </w:rPr>
        <w:t xml:space="preserve"> </w:t>
      </w:r>
      <w:r w:rsidRPr="001714BA">
        <w:rPr>
          <w:rFonts w:ascii="Arial" w:eastAsia="Arial" w:hAnsi="Arial" w:cs="Arial"/>
          <w:spacing w:val="-1"/>
          <w:sz w:val="20"/>
          <w:szCs w:val="20"/>
        </w:rPr>
        <w:t>thi</w:t>
      </w:r>
      <w:r w:rsidRPr="001714BA">
        <w:rPr>
          <w:rFonts w:ascii="Arial" w:eastAsia="Arial" w:hAnsi="Arial" w:cs="Arial"/>
          <w:sz w:val="20"/>
          <w:szCs w:val="20"/>
        </w:rPr>
        <w:t>s</w:t>
      </w:r>
      <w:r w:rsidRPr="001714BA">
        <w:rPr>
          <w:rFonts w:ascii="Arial" w:eastAsia="Arial" w:hAnsi="Arial" w:cs="Arial"/>
          <w:spacing w:val="-3"/>
          <w:sz w:val="20"/>
          <w:szCs w:val="20"/>
        </w:rPr>
        <w:t xml:space="preserve"> </w:t>
      </w:r>
      <w:r w:rsidRPr="001714BA">
        <w:rPr>
          <w:rFonts w:ascii="Arial" w:eastAsia="Arial" w:hAnsi="Arial" w:cs="Arial"/>
          <w:spacing w:val="1"/>
          <w:sz w:val="20"/>
          <w:szCs w:val="20"/>
        </w:rPr>
        <w:t>s</w:t>
      </w:r>
      <w:r w:rsidRPr="001714BA">
        <w:rPr>
          <w:rFonts w:ascii="Arial" w:eastAsia="Arial" w:hAnsi="Arial" w:cs="Arial"/>
          <w:spacing w:val="-1"/>
          <w:sz w:val="20"/>
          <w:szCs w:val="20"/>
        </w:rPr>
        <w:t>ub</w:t>
      </w:r>
      <w:r w:rsidRPr="001714BA">
        <w:rPr>
          <w:rFonts w:ascii="Arial" w:eastAsia="Arial" w:hAnsi="Arial" w:cs="Arial"/>
          <w:spacing w:val="4"/>
          <w:sz w:val="20"/>
          <w:szCs w:val="20"/>
        </w:rPr>
        <w:t>m</w:t>
      </w:r>
      <w:r w:rsidRPr="001714BA">
        <w:rPr>
          <w:rFonts w:ascii="Arial" w:eastAsia="Arial" w:hAnsi="Arial" w:cs="Arial"/>
          <w:spacing w:val="-1"/>
          <w:sz w:val="20"/>
          <w:szCs w:val="20"/>
        </w:rPr>
        <w:t>i</w:t>
      </w:r>
      <w:r w:rsidRPr="001714BA">
        <w:rPr>
          <w:rFonts w:ascii="Arial" w:eastAsia="Arial" w:hAnsi="Arial" w:cs="Arial"/>
          <w:spacing w:val="1"/>
          <w:sz w:val="20"/>
          <w:szCs w:val="20"/>
        </w:rPr>
        <w:t>ss</w:t>
      </w:r>
      <w:r w:rsidRPr="001714BA">
        <w:rPr>
          <w:rFonts w:ascii="Arial" w:eastAsia="Arial" w:hAnsi="Arial" w:cs="Arial"/>
          <w:spacing w:val="-1"/>
          <w:sz w:val="20"/>
          <w:szCs w:val="20"/>
        </w:rPr>
        <w:t>ion</w:t>
      </w:r>
      <w:r w:rsidRPr="001714BA">
        <w:rPr>
          <w:rFonts w:ascii="Arial" w:eastAsia="Arial" w:hAnsi="Arial" w:cs="Arial"/>
          <w:sz w:val="20"/>
          <w:szCs w:val="20"/>
        </w:rPr>
        <w:t>,</w:t>
      </w:r>
      <w:r w:rsidRPr="001714BA">
        <w:rPr>
          <w:rFonts w:ascii="Arial" w:eastAsia="Arial" w:hAnsi="Arial" w:cs="Arial"/>
          <w:spacing w:val="-6"/>
          <w:sz w:val="20"/>
          <w:szCs w:val="20"/>
        </w:rPr>
        <w:t xml:space="preserve"> </w:t>
      </w:r>
      <w:r w:rsidRPr="001714BA">
        <w:rPr>
          <w:rFonts w:ascii="Arial" w:eastAsia="Arial" w:hAnsi="Arial" w:cs="Arial"/>
          <w:spacing w:val="-1"/>
          <w:sz w:val="20"/>
          <w:szCs w:val="20"/>
        </w:rPr>
        <w:t>pl</w:t>
      </w:r>
      <w:r w:rsidRPr="001714BA">
        <w:rPr>
          <w:rFonts w:ascii="Arial" w:eastAsia="Arial" w:hAnsi="Arial" w:cs="Arial"/>
          <w:spacing w:val="2"/>
          <w:sz w:val="20"/>
          <w:szCs w:val="20"/>
        </w:rPr>
        <w:t>e</w:t>
      </w:r>
      <w:r w:rsidRPr="001714BA">
        <w:rPr>
          <w:rFonts w:ascii="Arial" w:eastAsia="Arial" w:hAnsi="Arial" w:cs="Arial"/>
          <w:spacing w:val="-1"/>
          <w:sz w:val="20"/>
          <w:szCs w:val="20"/>
        </w:rPr>
        <w:t>a</w:t>
      </w:r>
      <w:r w:rsidRPr="001714BA">
        <w:rPr>
          <w:rFonts w:ascii="Arial" w:eastAsia="Arial" w:hAnsi="Arial" w:cs="Arial"/>
          <w:spacing w:val="1"/>
          <w:sz w:val="20"/>
          <w:szCs w:val="20"/>
        </w:rPr>
        <w:t>s</w:t>
      </w:r>
      <w:r w:rsidRPr="001714BA">
        <w:rPr>
          <w:rFonts w:ascii="Arial" w:eastAsia="Arial" w:hAnsi="Arial" w:cs="Arial"/>
          <w:sz w:val="20"/>
          <w:szCs w:val="20"/>
        </w:rPr>
        <w:t>e</w:t>
      </w:r>
      <w:r w:rsidRPr="001714BA">
        <w:rPr>
          <w:rFonts w:ascii="Arial" w:eastAsia="Arial" w:hAnsi="Arial" w:cs="Arial"/>
          <w:spacing w:val="-4"/>
          <w:sz w:val="20"/>
          <w:szCs w:val="20"/>
        </w:rPr>
        <w:t xml:space="preserve"> </w:t>
      </w:r>
      <w:r w:rsidRPr="001714BA">
        <w:rPr>
          <w:rFonts w:ascii="Arial" w:eastAsia="Arial" w:hAnsi="Arial" w:cs="Arial"/>
          <w:spacing w:val="1"/>
          <w:sz w:val="20"/>
          <w:szCs w:val="20"/>
        </w:rPr>
        <w:t>c</w:t>
      </w:r>
      <w:r w:rsidRPr="001714BA">
        <w:rPr>
          <w:rFonts w:ascii="Arial" w:eastAsia="Arial" w:hAnsi="Arial" w:cs="Arial"/>
          <w:spacing w:val="-1"/>
          <w:sz w:val="20"/>
          <w:szCs w:val="20"/>
        </w:rPr>
        <w:t>on</w:t>
      </w:r>
      <w:r w:rsidRPr="001714BA">
        <w:rPr>
          <w:rFonts w:ascii="Arial" w:eastAsia="Arial" w:hAnsi="Arial" w:cs="Arial"/>
          <w:spacing w:val="2"/>
          <w:sz w:val="20"/>
          <w:szCs w:val="20"/>
        </w:rPr>
        <w:t>t</w:t>
      </w:r>
      <w:r w:rsidRPr="001714BA">
        <w:rPr>
          <w:rFonts w:ascii="Arial" w:eastAsia="Arial" w:hAnsi="Arial" w:cs="Arial"/>
          <w:spacing w:val="-1"/>
          <w:sz w:val="20"/>
          <w:szCs w:val="20"/>
        </w:rPr>
        <w:t>a</w:t>
      </w:r>
      <w:r w:rsidRPr="001714BA">
        <w:rPr>
          <w:rFonts w:ascii="Arial" w:eastAsia="Arial" w:hAnsi="Arial" w:cs="Arial"/>
          <w:spacing w:val="1"/>
          <w:sz w:val="20"/>
          <w:szCs w:val="20"/>
        </w:rPr>
        <w:t>c</w:t>
      </w:r>
      <w:r w:rsidRPr="001714BA">
        <w:rPr>
          <w:rFonts w:ascii="Arial" w:eastAsia="Arial" w:hAnsi="Arial" w:cs="Arial"/>
          <w:sz w:val="20"/>
          <w:szCs w:val="20"/>
        </w:rPr>
        <w:t>t</w:t>
      </w:r>
      <w:r w:rsidRPr="001714BA">
        <w:rPr>
          <w:rFonts w:ascii="Arial" w:eastAsia="Arial" w:hAnsi="Arial" w:cs="Arial"/>
          <w:spacing w:val="-5"/>
          <w:sz w:val="20"/>
          <w:szCs w:val="20"/>
        </w:rPr>
        <w:t xml:space="preserve"> the undersigned at</w:t>
      </w:r>
      <w:r w:rsidR="00407215">
        <w:t xml:space="preserve"> </w:t>
      </w:r>
      <w:hyperlink r:id="rId13" w:history="1">
        <w:r w:rsidR="00407215" w:rsidRPr="00452CA0">
          <w:rPr>
            <w:rStyle w:val="Hyperlink"/>
          </w:rPr>
          <w:t>Irina.Bauer@osttra.com</w:t>
        </w:r>
      </w:hyperlink>
      <w:r w:rsidR="00407215">
        <w:t xml:space="preserve">. </w:t>
      </w:r>
    </w:p>
    <w:p w14:paraId="13AEC213" w14:textId="77777777" w:rsidR="0034611E" w:rsidRPr="001714BA" w:rsidRDefault="0034611E" w:rsidP="00A47179">
      <w:pPr>
        <w:spacing w:after="0" w:line="240" w:lineRule="auto"/>
        <w:ind w:left="4320"/>
        <w:jc w:val="both"/>
        <w:rPr>
          <w:rFonts w:ascii="Arial" w:eastAsia="Times New Roman" w:hAnsi="Arial" w:cs="Arial"/>
          <w:sz w:val="20"/>
          <w:szCs w:val="20"/>
        </w:rPr>
      </w:pPr>
    </w:p>
    <w:p w14:paraId="47653D08" w14:textId="36351E2F" w:rsidR="00F1202B" w:rsidRPr="001714BA" w:rsidRDefault="003722C5" w:rsidP="00975B56">
      <w:pPr>
        <w:spacing w:after="0" w:line="240" w:lineRule="auto"/>
        <w:ind w:left="4320"/>
        <w:jc w:val="both"/>
        <w:rPr>
          <w:rFonts w:ascii="Arial" w:eastAsia="Times New Roman" w:hAnsi="Arial" w:cs="Arial"/>
          <w:sz w:val="20"/>
          <w:szCs w:val="20"/>
        </w:rPr>
      </w:pPr>
      <w:r w:rsidRPr="001714BA">
        <w:rPr>
          <w:rFonts w:ascii="Arial" w:eastAsia="Times New Roman" w:hAnsi="Arial" w:cs="Arial"/>
          <w:sz w:val="20"/>
          <w:szCs w:val="20"/>
        </w:rPr>
        <w:t>Sincerely,</w:t>
      </w:r>
    </w:p>
    <w:p w14:paraId="11E346FB" w14:textId="559F3D15" w:rsidR="0076795F" w:rsidRPr="001714BA" w:rsidRDefault="0076795F" w:rsidP="003722C5">
      <w:pPr>
        <w:spacing w:after="0" w:line="240" w:lineRule="auto"/>
        <w:jc w:val="both"/>
        <w:rPr>
          <w:rFonts w:ascii="Arial" w:eastAsia="Times New Roman" w:hAnsi="Arial" w:cs="Arial"/>
          <w:sz w:val="20"/>
          <w:szCs w:val="20"/>
        </w:rPr>
      </w:pPr>
    </w:p>
    <w:p w14:paraId="58F72DDD" w14:textId="77777777" w:rsidR="00975B56" w:rsidRPr="001714BA" w:rsidRDefault="00975B56" w:rsidP="003722C5">
      <w:pPr>
        <w:spacing w:after="0" w:line="240" w:lineRule="auto"/>
        <w:jc w:val="both"/>
        <w:rPr>
          <w:rFonts w:ascii="Arial" w:eastAsia="Times New Roman" w:hAnsi="Arial" w:cs="Arial"/>
          <w:sz w:val="20"/>
          <w:szCs w:val="20"/>
        </w:rPr>
      </w:pPr>
    </w:p>
    <w:p w14:paraId="7C7B82EC" w14:textId="398D17B8" w:rsidR="0034611E" w:rsidRDefault="003722C5" w:rsidP="00B718E3">
      <w:pPr>
        <w:spacing w:after="0" w:line="240" w:lineRule="auto"/>
        <w:ind w:left="4320"/>
        <w:jc w:val="both"/>
        <w:rPr>
          <w:rFonts w:ascii="Arial" w:eastAsia="Times New Roman" w:hAnsi="Arial" w:cs="Arial"/>
          <w:sz w:val="20"/>
          <w:szCs w:val="20"/>
        </w:rPr>
      </w:pPr>
      <w:r w:rsidRPr="001714BA">
        <w:rPr>
          <w:rFonts w:ascii="Arial" w:eastAsia="Times New Roman" w:hAnsi="Arial" w:cs="Arial"/>
          <w:sz w:val="20"/>
          <w:szCs w:val="20"/>
        </w:rPr>
        <w:t xml:space="preserve">/s/ </w:t>
      </w:r>
      <w:r w:rsidR="00407215">
        <w:rPr>
          <w:rFonts w:ascii="Arial" w:eastAsia="Times New Roman" w:hAnsi="Arial" w:cs="Arial"/>
          <w:sz w:val="20"/>
          <w:szCs w:val="20"/>
        </w:rPr>
        <w:t>Irina</w:t>
      </w:r>
      <w:r w:rsidR="00B718E3">
        <w:rPr>
          <w:rFonts w:ascii="Arial" w:eastAsia="Times New Roman" w:hAnsi="Arial" w:cs="Arial"/>
          <w:sz w:val="20"/>
          <w:szCs w:val="20"/>
        </w:rPr>
        <w:t xml:space="preserve"> </w:t>
      </w:r>
      <w:r w:rsidR="00407215">
        <w:rPr>
          <w:rFonts w:ascii="Arial" w:eastAsia="Times New Roman" w:hAnsi="Arial" w:cs="Arial"/>
          <w:sz w:val="20"/>
          <w:szCs w:val="20"/>
        </w:rPr>
        <w:t>Bauer</w:t>
      </w:r>
    </w:p>
    <w:p w14:paraId="4E6EEE7F" w14:textId="74D3C6EE" w:rsidR="00B718E3" w:rsidRPr="006F6887" w:rsidRDefault="00B718E3" w:rsidP="00B718E3">
      <w:pPr>
        <w:spacing w:after="0" w:line="240" w:lineRule="auto"/>
        <w:ind w:left="4320"/>
        <w:jc w:val="both"/>
        <w:rPr>
          <w:rFonts w:ascii="Arial" w:eastAsia="Times New Roman" w:hAnsi="Arial" w:cs="Arial"/>
          <w:sz w:val="18"/>
          <w:szCs w:val="18"/>
        </w:rPr>
      </w:pPr>
      <w:r>
        <w:rPr>
          <w:rFonts w:ascii="Arial" w:eastAsia="Times New Roman" w:hAnsi="Arial" w:cs="Arial"/>
          <w:sz w:val="20"/>
          <w:szCs w:val="20"/>
        </w:rPr>
        <w:t>Chief Compliance Officer</w:t>
      </w:r>
    </w:p>
    <w:p w14:paraId="13A525C1" w14:textId="77777777" w:rsidR="00C670C9" w:rsidRPr="006F6887" w:rsidRDefault="00C670C9" w:rsidP="0034611E">
      <w:pPr>
        <w:spacing w:after="0" w:line="240" w:lineRule="auto"/>
        <w:ind w:left="4320"/>
        <w:jc w:val="both"/>
        <w:rPr>
          <w:rFonts w:ascii="Arial" w:eastAsia="Times New Roman" w:hAnsi="Arial" w:cs="Arial"/>
          <w:sz w:val="18"/>
          <w:szCs w:val="18"/>
        </w:rPr>
      </w:pPr>
    </w:p>
    <w:p w14:paraId="2209D3BA" w14:textId="77777777" w:rsidR="00E369E9" w:rsidRDefault="00E369E9" w:rsidP="001714BA">
      <w:pPr>
        <w:tabs>
          <w:tab w:val="left" w:pos="-720"/>
        </w:tabs>
        <w:suppressAutoHyphens/>
        <w:spacing w:after="0" w:line="240" w:lineRule="auto"/>
        <w:rPr>
          <w:rFonts w:ascii="Arial" w:hAnsi="Arial" w:cs="Arial"/>
          <w:sz w:val="20"/>
        </w:rPr>
      </w:pPr>
    </w:p>
    <w:p w14:paraId="0097C2DB" w14:textId="42B5AD8D" w:rsidR="00FD3B4F" w:rsidRDefault="001714BA" w:rsidP="00FD3B4F">
      <w:pPr>
        <w:tabs>
          <w:tab w:val="left" w:pos="-720"/>
        </w:tabs>
        <w:suppressAutoHyphens/>
        <w:spacing w:after="0" w:line="240" w:lineRule="auto"/>
        <w:ind w:left="1440" w:hanging="1350"/>
        <w:rPr>
          <w:rFonts w:ascii="Arial" w:hAnsi="Arial" w:cs="Arial"/>
          <w:sz w:val="20"/>
        </w:rPr>
      </w:pPr>
      <w:r w:rsidRPr="001714BA">
        <w:rPr>
          <w:rFonts w:ascii="Arial" w:hAnsi="Arial" w:cs="Arial"/>
          <w:sz w:val="20"/>
        </w:rPr>
        <w:t>Attachments</w:t>
      </w:r>
      <w:r w:rsidR="00896E8D">
        <w:rPr>
          <w:rFonts w:ascii="Arial" w:hAnsi="Arial" w:cs="Arial"/>
          <w:sz w:val="20"/>
        </w:rPr>
        <w:t>, provided under a separate cover</w:t>
      </w:r>
      <w:r w:rsidRPr="001714BA">
        <w:rPr>
          <w:rFonts w:ascii="Arial" w:hAnsi="Arial" w:cs="Arial"/>
          <w:sz w:val="20"/>
        </w:rPr>
        <w:t xml:space="preserve">: </w:t>
      </w:r>
      <w:r w:rsidRPr="001714BA">
        <w:rPr>
          <w:rFonts w:ascii="Arial" w:hAnsi="Arial" w:cs="Arial"/>
          <w:sz w:val="20"/>
        </w:rPr>
        <w:tab/>
      </w:r>
    </w:p>
    <w:p w14:paraId="787B8049" w14:textId="1A87B633" w:rsidR="00D567FF" w:rsidRPr="005E4491" w:rsidRDefault="00FD3B4F" w:rsidP="00FD3B4F">
      <w:pPr>
        <w:tabs>
          <w:tab w:val="left" w:pos="-720"/>
        </w:tabs>
        <w:suppressAutoHyphens/>
        <w:spacing w:after="0" w:line="240" w:lineRule="auto"/>
        <w:ind w:left="1440" w:hanging="1350"/>
        <w:rPr>
          <w:rFonts w:ascii="Arial" w:hAnsi="Arial" w:cs="Arial"/>
          <w:sz w:val="20"/>
        </w:rPr>
      </w:pPr>
      <w:r>
        <w:rPr>
          <w:rFonts w:ascii="Arial" w:hAnsi="Arial" w:cs="Arial"/>
          <w:sz w:val="20"/>
        </w:rPr>
        <w:t xml:space="preserve">             </w:t>
      </w:r>
      <w:r w:rsidR="008D220E" w:rsidRPr="005E4491">
        <w:rPr>
          <w:rFonts w:ascii="Arial" w:hAnsi="Arial" w:cs="Arial"/>
          <w:sz w:val="20"/>
        </w:rPr>
        <w:t>Appendix</w:t>
      </w:r>
      <w:r w:rsidR="001714BA" w:rsidRPr="005E4491">
        <w:rPr>
          <w:rFonts w:ascii="Arial" w:hAnsi="Arial" w:cs="Arial"/>
          <w:sz w:val="20"/>
        </w:rPr>
        <w:t xml:space="preserve"> A: </w:t>
      </w:r>
      <w:r w:rsidR="002E0B94">
        <w:rPr>
          <w:rFonts w:ascii="Arial" w:hAnsi="Arial" w:cs="Arial"/>
          <w:sz w:val="20"/>
        </w:rPr>
        <w:t>OSTTRA SEF Compliance Manual (blackline)</w:t>
      </w:r>
    </w:p>
    <w:p w14:paraId="3D388D27" w14:textId="0FF65730" w:rsidR="00FD3B4F" w:rsidRPr="005E4491" w:rsidRDefault="00FD3B4F" w:rsidP="00FD3B4F">
      <w:pPr>
        <w:tabs>
          <w:tab w:val="left" w:pos="-720"/>
        </w:tabs>
        <w:suppressAutoHyphens/>
        <w:spacing w:after="0" w:line="240" w:lineRule="auto"/>
        <w:ind w:left="1440" w:hanging="1350"/>
        <w:rPr>
          <w:rFonts w:ascii="Arial" w:hAnsi="Arial" w:cs="Arial"/>
          <w:sz w:val="20"/>
        </w:rPr>
        <w:sectPr w:rsidR="00FD3B4F" w:rsidRPr="005E4491" w:rsidSect="00D567FF">
          <w:footerReference w:type="default" r:id="rId14"/>
          <w:pgSz w:w="12240" w:h="15840"/>
          <w:pgMar w:top="1440" w:right="1440" w:bottom="1440" w:left="1440" w:header="720" w:footer="720" w:gutter="0"/>
          <w:pgNumType w:start="1"/>
          <w:cols w:space="720"/>
          <w:docGrid w:linePitch="360"/>
        </w:sectPr>
      </w:pPr>
    </w:p>
    <w:p w14:paraId="5E7D0DAD" w14:textId="36E99927" w:rsidR="003F0EBD" w:rsidRDefault="00FD3B4F" w:rsidP="003F0EBD">
      <w:pPr>
        <w:autoSpaceDE w:val="0"/>
        <w:autoSpaceDN w:val="0"/>
        <w:adjustRightInd w:val="0"/>
        <w:spacing w:after="0" w:line="240" w:lineRule="auto"/>
        <w:ind w:left="830"/>
        <w:jc w:val="both"/>
        <w:rPr>
          <w:rFonts w:ascii="Arial" w:hAnsi="Arial" w:cs="Arial"/>
          <w:sz w:val="20"/>
        </w:rPr>
      </w:pPr>
      <w:r w:rsidRPr="005E4491">
        <w:rPr>
          <w:rFonts w:ascii="Arial" w:hAnsi="Arial" w:cs="Arial"/>
          <w:sz w:val="20"/>
        </w:rPr>
        <w:t xml:space="preserve">Appendix B: </w:t>
      </w:r>
      <w:r w:rsidR="002E0B94">
        <w:rPr>
          <w:rFonts w:ascii="Arial" w:hAnsi="Arial" w:cs="Arial"/>
          <w:sz w:val="20"/>
        </w:rPr>
        <w:t>OSTTRA SEF Compliance Manual (clean)</w:t>
      </w:r>
    </w:p>
    <w:p w14:paraId="6FD31E38" w14:textId="0FF952F8" w:rsidR="002E0B94" w:rsidRDefault="002E0B94"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Appendix C: Directors and Officers, Exhibit B (blackline)</w:t>
      </w:r>
    </w:p>
    <w:p w14:paraId="49F57F21" w14:textId="4652CB1F" w:rsidR="002E0B94" w:rsidRDefault="002E0B94"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D: </w:t>
      </w:r>
      <w:r>
        <w:rPr>
          <w:rFonts w:ascii="Arial" w:hAnsi="Arial" w:cs="Arial"/>
          <w:sz w:val="20"/>
        </w:rPr>
        <w:t>Directors and Officers, Exhibit B (</w:t>
      </w:r>
      <w:r>
        <w:rPr>
          <w:rFonts w:ascii="Arial" w:hAnsi="Arial" w:cs="Arial"/>
          <w:sz w:val="20"/>
        </w:rPr>
        <w:t>clean</w:t>
      </w:r>
      <w:r>
        <w:rPr>
          <w:rFonts w:ascii="Arial" w:hAnsi="Arial" w:cs="Arial"/>
          <w:sz w:val="20"/>
        </w:rPr>
        <w:t>)</w:t>
      </w:r>
    </w:p>
    <w:p w14:paraId="54CA4141" w14:textId="5DE26C04" w:rsidR="002E0B94" w:rsidRDefault="002E0B94" w:rsidP="003F0EBD">
      <w:pPr>
        <w:autoSpaceDE w:val="0"/>
        <w:autoSpaceDN w:val="0"/>
        <w:adjustRightInd w:val="0"/>
        <w:spacing w:after="0" w:line="240" w:lineRule="auto"/>
        <w:ind w:left="830"/>
        <w:jc w:val="both"/>
        <w:rPr>
          <w:rFonts w:ascii="Arial" w:hAnsi="Arial" w:cs="Arial"/>
          <w:sz w:val="20"/>
          <w:szCs w:val="20"/>
        </w:rPr>
      </w:pPr>
      <w:r>
        <w:rPr>
          <w:rFonts w:ascii="Arial" w:hAnsi="Arial" w:cs="Arial"/>
          <w:sz w:val="20"/>
        </w:rPr>
        <w:t xml:space="preserve">Appendix E: </w:t>
      </w:r>
      <w:r>
        <w:rPr>
          <w:rFonts w:ascii="Arial" w:hAnsi="Arial" w:cs="Arial"/>
          <w:sz w:val="20"/>
          <w:szCs w:val="20"/>
        </w:rPr>
        <w:t>F</w:t>
      </w:r>
      <w:r>
        <w:rPr>
          <w:rFonts w:ascii="Arial" w:hAnsi="Arial" w:cs="Arial"/>
          <w:sz w:val="20"/>
          <w:szCs w:val="20"/>
        </w:rPr>
        <w:t>itness standards of directors and outside directors</w:t>
      </w:r>
      <w:r>
        <w:rPr>
          <w:rFonts w:ascii="Arial" w:hAnsi="Arial" w:cs="Arial"/>
          <w:sz w:val="20"/>
          <w:szCs w:val="20"/>
        </w:rPr>
        <w:t xml:space="preserve">, </w:t>
      </w:r>
      <w:r>
        <w:rPr>
          <w:rFonts w:ascii="Arial" w:hAnsi="Arial" w:cs="Arial"/>
          <w:sz w:val="20"/>
          <w:szCs w:val="20"/>
        </w:rPr>
        <w:t>Exhibit C</w:t>
      </w:r>
      <w:r>
        <w:rPr>
          <w:rFonts w:ascii="Arial" w:hAnsi="Arial" w:cs="Arial"/>
          <w:sz w:val="20"/>
          <w:szCs w:val="20"/>
        </w:rPr>
        <w:t xml:space="preserve"> (blackline)</w:t>
      </w:r>
    </w:p>
    <w:p w14:paraId="3691FAE0" w14:textId="4AD9001B" w:rsidR="002E0B94" w:rsidRDefault="002E0B94" w:rsidP="002E0B94">
      <w:pPr>
        <w:autoSpaceDE w:val="0"/>
        <w:autoSpaceDN w:val="0"/>
        <w:adjustRightInd w:val="0"/>
        <w:spacing w:after="0" w:line="240" w:lineRule="auto"/>
        <w:ind w:left="830"/>
        <w:jc w:val="both"/>
        <w:rPr>
          <w:rFonts w:ascii="Arial" w:hAnsi="Arial" w:cs="Arial"/>
          <w:sz w:val="20"/>
          <w:szCs w:val="20"/>
        </w:rPr>
      </w:pPr>
      <w:r>
        <w:rPr>
          <w:rFonts w:ascii="Arial" w:hAnsi="Arial" w:cs="Arial"/>
          <w:sz w:val="20"/>
        </w:rPr>
        <w:t xml:space="preserve">Appendix </w:t>
      </w:r>
      <w:r>
        <w:rPr>
          <w:rFonts w:ascii="Arial" w:hAnsi="Arial" w:cs="Arial"/>
          <w:sz w:val="20"/>
        </w:rPr>
        <w:t>F</w:t>
      </w:r>
      <w:r>
        <w:rPr>
          <w:rFonts w:ascii="Arial" w:hAnsi="Arial" w:cs="Arial"/>
          <w:sz w:val="20"/>
        </w:rPr>
        <w:t xml:space="preserve">: </w:t>
      </w:r>
      <w:r>
        <w:rPr>
          <w:rFonts w:ascii="Arial" w:hAnsi="Arial" w:cs="Arial"/>
          <w:sz w:val="20"/>
          <w:szCs w:val="20"/>
        </w:rPr>
        <w:t>Fitness standards of directors and outside directors, Exhibit C (</w:t>
      </w:r>
      <w:r>
        <w:rPr>
          <w:rFonts w:ascii="Arial" w:hAnsi="Arial" w:cs="Arial"/>
          <w:sz w:val="20"/>
          <w:szCs w:val="20"/>
        </w:rPr>
        <w:t>clean</w:t>
      </w:r>
      <w:r>
        <w:rPr>
          <w:rFonts w:ascii="Arial" w:hAnsi="Arial" w:cs="Arial"/>
          <w:sz w:val="20"/>
          <w:szCs w:val="20"/>
        </w:rPr>
        <w:t>)</w:t>
      </w:r>
    </w:p>
    <w:p w14:paraId="15259F56" w14:textId="4C257828" w:rsidR="00896E8D" w:rsidRDefault="00896E8D" w:rsidP="002E0B94">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Appendix G:</w:t>
      </w:r>
      <w:r w:rsidRPr="00896E8D">
        <w:rPr>
          <w:rFonts w:ascii="Arial" w:hAnsi="Arial" w:cs="Arial"/>
          <w:sz w:val="20"/>
          <w:szCs w:val="20"/>
        </w:rPr>
        <w:t xml:space="preserve"> </w:t>
      </w:r>
      <w:r>
        <w:rPr>
          <w:rFonts w:ascii="Arial" w:hAnsi="Arial" w:cs="Arial"/>
          <w:sz w:val="20"/>
          <w:szCs w:val="20"/>
        </w:rPr>
        <w:t>P</w:t>
      </w:r>
      <w:r>
        <w:rPr>
          <w:rFonts w:ascii="Arial" w:hAnsi="Arial" w:cs="Arial"/>
          <w:sz w:val="20"/>
          <w:szCs w:val="20"/>
        </w:rPr>
        <w:t>ersonnel qualifications descriptions</w:t>
      </w:r>
      <w:r>
        <w:rPr>
          <w:rFonts w:ascii="Arial" w:hAnsi="Arial" w:cs="Arial"/>
          <w:sz w:val="20"/>
          <w:szCs w:val="20"/>
        </w:rPr>
        <w:t xml:space="preserve">, </w:t>
      </w:r>
      <w:r>
        <w:rPr>
          <w:rFonts w:ascii="Arial" w:hAnsi="Arial" w:cs="Arial"/>
          <w:sz w:val="20"/>
          <w:szCs w:val="20"/>
        </w:rPr>
        <w:t>Exhibit E</w:t>
      </w:r>
      <w:r>
        <w:rPr>
          <w:rFonts w:ascii="Arial" w:hAnsi="Arial" w:cs="Arial"/>
          <w:sz w:val="20"/>
          <w:szCs w:val="20"/>
        </w:rPr>
        <w:t xml:space="preserve"> (blackline)</w:t>
      </w:r>
    </w:p>
    <w:p w14:paraId="592E9A42" w14:textId="452429D1"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 xml:space="preserve">Appendix </w:t>
      </w:r>
      <w:r>
        <w:rPr>
          <w:rFonts w:ascii="Arial" w:hAnsi="Arial" w:cs="Arial"/>
          <w:sz w:val="20"/>
          <w:szCs w:val="20"/>
        </w:rPr>
        <w:t>H</w:t>
      </w:r>
      <w:r>
        <w:rPr>
          <w:rFonts w:ascii="Arial" w:hAnsi="Arial" w:cs="Arial"/>
          <w:sz w:val="20"/>
          <w:szCs w:val="20"/>
        </w:rPr>
        <w:t>:</w:t>
      </w:r>
      <w:r w:rsidRPr="00896E8D">
        <w:rPr>
          <w:rFonts w:ascii="Arial" w:hAnsi="Arial" w:cs="Arial"/>
          <w:sz w:val="20"/>
          <w:szCs w:val="20"/>
        </w:rPr>
        <w:t xml:space="preserve"> </w:t>
      </w:r>
      <w:r>
        <w:rPr>
          <w:rFonts w:ascii="Arial" w:hAnsi="Arial" w:cs="Arial"/>
          <w:sz w:val="20"/>
          <w:szCs w:val="20"/>
        </w:rPr>
        <w:t>Personnel qualifications descriptions, Exhibit E (</w:t>
      </w:r>
      <w:r>
        <w:rPr>
          <w:rFonts w:ascii="Arial" w:hAnsi="Arial" w:cs="Arial"/>
          <w:sz w:val="20"/>
          <w:szCs w:val="20"/>
        </w:rPr>
        <w:t>clean</w:t>
      </w:r>
      <w:r>
        <w:rPr>
          <w:rFonts w:ascii="Arial" w:hAnsi="Arial" w:cs="Arial"/>
          <w:sz w:val="20"/>
          <w:szCs w:val="20"/>
        </w:rPr>
        <w:t>)</w:t>
      </w:r>
    </w:p>
    <w:p w14:paraId="1AA0081F" w14:textId="62702A4E"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lastRenderedPageBreak/>
        <w:t>Appendix I: Staffing Requirements, Exhibit F (blackline)</w:t>
      </w:r>
    </w:p>
    <w:p w14:paraId="08C012AD" w14:textId="1072A0E0"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Appendix J: Staffing Requirements, Exhibit F (clean)</w:t>
      </w:r>
    </w:p>
    <w:p w14:paraId="453EF954" w14:textId="126BFE31"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Appendix K: Certificate of Name Change, Exhibit G1a</w:t>
      </w:r>
    </w:p>
    <w:p w14:paraId="1E2104AA" w14:textId="7269583A"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Appendix: L: L</w:t>
      </w:r>
      <w:r>
        <w:rPr>
          <w:rFonts w:ascii="Arial" w:hAnsi="Arial" w:cs="Arial"/>
          <w:sz w:val="20"/>
          <w:szCs w:val="20"/>
        </w:rPr>
        <w:t>isting of material legal proceedings</w:t>
      </w:r>
      <w:r>
        <w:rPr>
          <w:rFonts w:ascii="Arial" w:hAnsi="Arial" w:cs="Arial"/>
          <w:sz w:val="20"/>
          <w:szCs w:val="20"/>
        </w:rPr>
        <w:t xml:space="preserve">, </w:t>
      </w:r>
      <w:r>
        <w:rPr>
          <w:rFonts w:ascii="Arial" w:hAnsi="Arial" w:cs="Arial"/>
          <w:sz w:val="20"/>
          <w:szCs w:val="20"/>
        </w:rPr>
        <w:t>Exhibit H</w:t>
      </w:r>
      <w:r>
        <w:rPr>
          <w:rFonts w:ascii="Arial" w:hAnsi="Arial" w:cs="Arial"/>
          <w:sz w:val="20"/>
          <w:szCs w:val="20"/>
        </w:rPr>
        <w:t xml:space="preserve"> (blackline)</w:t>
      </w:r>
    </w:p>
    <w:p w14:paraId="5A665CDB" w14:textId="1ABCCB62"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 xml:space="preserve">Appendix: </w:t>
      </w:r>
      <w:r>
        <w:rPr>
          <w:rFonts w:ascii="Arial" w:hAnsi="Arial" w:cs="Arial"/>
          <w:sz w:val="20"/>
          <w:szCs w:val="20"/>
        </w:rPr>
        <w:t>M</w:t>
      </w:r>
      <w:r>
        <w:rPr>
          <w:rFonts w:ascii="Arial" w:hAnsi="Arial" w:cs="Arial"/>
          <w:sz w:val="20"/>
          <w:szCs w:val="20"/>
        </w:rPr>
        <w:t>: Listing of material legal proceedings, Exhibit H (</w:t>
      </w:r>
      <w:r>
        <w:rPr>
          <w:rFonts w:ascii="Arial" w:hAnsi="Arial" w:cs="Arial"/>
          <w:sz w:val="20"/>
          <w:szCs w:val="20"/>
        </w:rPr>
        <w:t>clean</w:t>
      </w:r>
      <w:r>
        <w:rPr>
          <w:rFonts w:ascii="Arial" w:hAnsi="Arial" w:cs="Arial"/>
          <w:sz w:val="20"/>
          <w:szCs w:val="20"/>
        </w:rPr>
        <w:t>)</w:t>
      </w:r>
    </w:p>
    <w:p w14:paraId="5B47B9FF" w14:textId="0E854103"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Appendix N: SEF Affiliate Financials, Exhibit J (blackline)</w:t>
      </w:r>
    </w:p>
    <w:p w14:paraId="6F535F2A" w14:textId="3839AD01"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 xml:space="preserve">Appendix </w:t>
      </w:r>
      <w:r>
        <w:rPr>
          <w:rFonts w:ascii="Arial" w:hAnsi="Arial" w:cs="Arial"/>
          <w:sz w:val="20"/>
          <w:szCs w:val="20"/>
        </w:rPr>
        <w:t>O</w:t>
      </w:r>
      <w:r>
        <w:rPr>
          <w:rFonts w:ascii="Arial" w:hAnsi="Arial" w:cs="Arial"/>
          <w:sz w:val="20"/>
          <w:szCs w:val="20"/>
        </w:rPr>
        <w:t>: SEF Affiliate Financials, Exhibit J (</w:t>
      </w:r>
      <w:r>
        <w:rPr>
          <w:rFonts w:ascii="Arial" w:hAnsi="Arial" w:cs="Arial"/>
          <w:sz w:val="20"/>
          <w:szCs w:val="20"/>
        </w:rPr>
        <w:t>clean</w:t>
      </w:r>
      <w:r>
        <w:rPr>
          <w:rFonts w:ascii="Arial" w:hAnsi="Arial" w:cs="Arial"/>
          <w:sz w:val="20"/>
          <w:szCs w:val="20"/>
        </w:rPr>
        <w:t>)</w:t>
      </w:r>
    </w:p>
    <w:p w14:paraId="0766017A" w14:textId="1A0C8372" w:rsidR="00896E8D" w:rsidRDefault="00896E8D" w:rsidP="00896E8D">
      <w:pPr>
        <w:autoSpaceDE w:val="0"/>
        <w:autoSpaceDN w:val="0"/>
        <w:adjustRightInd w:val="0"/>
        <w:spacing w:after="0" w:line="240" w:lineRule="auto"/>
        <w:ind w:left="830"/>
        <w:jc w:val="both"/>
        <w:rPr>
          <w:rFonts w:ascii="Arial" w:hAnsi="Arial" w:cs="Arial"/>
          <w:sz w:val="20"/>
          <w:szCs w:val="20"/>
        </w:rPr>
      </w:pPr>
      <w:r>
        <w:rPr>
          <w:rFonts w:ascii="Arial" w:hAnsi="Arial" w:cs="Arial"/>
          <w:sz w:val="20"/>
          <w:szCs w:val="20"/>
        </w:rPr>
        <w:t>Appendix P: Form 10k, Exhibit H1</w:t>
      </w:r>
    </w:p>
    <w:p w14:paraId="37490EA2" w14:textId="77777777" w:rsidR="00896E8D" w:rsidRPr="005E4491" w:rsidRDefault="00896E8D" w:rsidP="00896E8D">
      <w:pPr>
        <w:autoSpaceDE w:val="0"/>
        <w:autoSpaceDN w:val="0"/>
        <w:adjustRightInd w:val="0"/>
        <w:spacing w:after="0" w:line="240" w:lineRule="auto"/>
        <w:ind w:left="830"/>
        <w:jc w:val="both"/>
        <w:rPr>
          <w:rFonts w:ascii="Arial" w:hAnsi="Arial" w:cs="Arial"/>
          <w:sz w:val="20"/>
        </w:rPr>
      </w:pPr>
    </w:p>
    <w:p w14:paraId="09B7546D" w14:textId="77777777" w:rsidR="00896E8D" w:rsidRPr="005E4491" w:rsidRDefault="00896E8D" w:rsidP="002E0B94">
      <w:pPr>
        <w:autoSpaceDE w:val="0"/>
        <w:autoSpaceDN w:val="0"/>
        <w:adjustRightInd w:val="0"/>
        <w:spacing w:after="0" w:line="240" w:lineRule="auto"/>
        <w:ind w:left="830"/>
        <w:jc w:val="both"/>
        <w:rPr>
          <w:rFonts w:ascii="Arial" w:hAnsi="Arial" w:cs="Arial"/>
          <w:sz w:val="20"/>
        </w:rPr>
      </w:pPr>
    </w:p>
    <w:p w14:paraId="7F2D2515" w14:textId="1038D1A8" w:rsidR="00FD3B4F" w:rsidRDefault="00EC4DE1" w:rsidP="00EC4DE1">
      <w:pPr>
        <w:autoSpaceDE w:val="0"/>
        <w:autoSpaceDN w:val="0"/>
        <w:adjustRightInd w:val="0"/>
        <w:spacing w:after="0" w:line="240" w:lineRule="auto"/>
        <w:jc w:val="both"/>
        <w:rPr>
          <w:rFonts w:ascii="Arial" w:hAnsi="Arial" w:cs="Arial"/>
          <w:sz w:val="20"/>
        </w:rPr>
      </w:pPr>
      <w:r>
        <w:rPr>
          <w:rFonts w:ascii="Arial" w:hAnsi="Arial" w:cs="Arial"/>
          <w:b/>
          <w:bCs/>
          <w:sz w:val="20"/>
        </w:rPr>
        <w:t xml:space="preserve">Table: </w:t>
      </w:r>
      <w:r w:rsidR="005A2B8D" w:rsidRPr="00EC4DE1">
        <w:rPr>
          <w:rFonts w:ascii="Arial" w:hAnsi="Arial" w:cs="Arial"/>
          <w:b/>
          <w:bCs/>
          <w:sz w:val="20"/>
        </w:rPr>
        <w:t>Analysis with Core Principles</w:t>
      </w:r>
      <w:r w:rsidR="005A2B8D">
        <w:rPr>
          <w:rFonts w:ascii="Arial" w:hAnsi="Arial" w:cs="Arial"/>
          <w:sz w:val="20"/>
        </w:rPr>
        <w:t>:</w:t>
      </w:r>
    </w:p>
    <w:p w14:paraId="73F2A05C" w14:textId="3DFEDA0A" w:rsidR="003F0EBD" w:rsidRDefault="003F0EBD" w:rsidP="003F0EBD">
      <w:pPr>
        <w:autoSpaceDE w:val="0"/>
        <w:autoSpaceDN w:val="0"/>
        <w:adjustRightInd w:val="0"/>
        <w:spacing w:after="0" w:line="240" w:lineRule="auto"/>
        <w:ind w:left="830"/>
        <w:jc w:val="both"/>
        <w:rPr>
          <w:rFonts w:ascii="Arial" w:hAnsi="Arial" w:cs="Arial"/>
          <w:sz w:val="20"/>
        </w:rPr>
      </w:pPr>
    </w:p>
    <w:p w14:paraId="74FF8BC5" w14:textId="0AA1F21D" w:rsidR="003F0EBD" w:rsidRDefault="003F0EBD" w:rsidP="003F0EBD">
      <w:pPr>
        <w:autoSpaceDE w:val="0"/>
        <w:autoSpaceDN w:val="0"/>
        <w:adjustRightInd w:val="0"/>
        <w:spacing w:after="0" w:line="240" w:lineRule="auto"/>
        <w:ind w:left="830"/>
        <w:jc w:val="both"/>
        <w:rPr>
          <w:rFonts w:ascii="Arial" w:hAnsi="Arial" w:cs="Arial"/>
          <w:sz w:val="20"/>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5310"/>
        <w:gridCol w:w="2864"/>
      </w:tblGrid>
      <w:tr w:rsidR="005A2B8D" w:rsidRPr="001714BA" w14:paraId="7109E70A" w14:textId="77777777" w:rsidTr="00BE4105">
        <w:trPr>
          <w:trHeight w:val="413"/>
          <w:tblHeader/>
        </w:trPr>
        <w:tc>
          <w:tcPr>
            <w:tcW w:w="1638" w:type="dxa"/>
            <w:shd w:val="clear" w:color="auto" w:fill="A6A6A6"/>
            <w:vAlign w:val="center"/>
          </w:tcPr>
          <w:p w14:paraId="40F53ADA" w14:textId="30E47536" w:rsidR="005A2B8D" w:rsidRPr="001714BA" w:rsidRDefault="005A2B8D" w:rsidP="00BE4105">
            <w:pPr>
              <w:spacing w:after="0" w:line="240" w:lineRule="auto"/>
              <w:jc w:val="center"/>
              <w:rPr>
                <w:rFonts w:ascii="Arial" w:eastAsia="Times New Roman" w:hAnsi="Arial" w:cs="Arial"/>
                <w:b/>
                <w:lang w:val="x-none" w:eastAsia="x-none"/>
              </w:rPr>
            </w:pPr>
            <w:r w:rsidRPr="001714BA">
              <w:rPr>
                <w:rFonts w:ascii="Arial" w:eastAsia="Times New Roman" w:hAnsi="Arial" w:cs="Arial"/>
                <w:b/>
                <w:lang w:eastAsia="x-none"/>
              </w:rPr>
              <w:t xml:space="preserve">Form SEF Exhibit </w:t>
            </w:r>
          </w:p>
        </w:tc>
        <w:tc>
          <w:tcPr>
            <w:tcW w:w="5310" w:type="dxa"/>
            <w:shd w:val="clear" w:color="auto" w:fill="A6A6A6"/>
            <w:vAlign w:val="center"/>
          </w:tcPr>
          <w:p w14:paraId="1ADF9D55" w14:textId="77777777" w:rsidR="005A2B8D" w:rsidRPr="001714BA" w:rsidRDefault="005A2B8D" w:rsidP="00BE4105">
            <w:pPr>
              <w:spacing w:after="0" w:line="240" w:lineRule="auto"/>
              <w:jc w:val="center"/>
              <w:rPr>
                <w:rFonts w:ascii="Arial" w:eastAsia="Times New Roman" w:hAnsi="Arial" w:cs="Arial"/>
                <w:b/>
                <w:lang w:val="x-none" w:eastAsia="x-none"/>
              </w:rPr>
            </w:pPr>
            <w:r w:rsidRPr="001714BA">
              <w:rPr>
                <w:rFonts w:ascii="Arial" w:eastAsia="Times New Roman" w:hAnsi="Arial" w:cs="Arial"/>
                <w:b/>
                <w:lang w:val="x-none" w:eastAsia="x-none"/>
              </w:rPr>
              <w:t>Description of Revision</w:t>
            </w:r>
          </w:p>
        </w:tc>
        <w:tc>
          <w:tcPr>
            <w:tcW w:w="2864" w:type="dxa"/>
            <w:shd w:val="clear" w:color="auto" w:fill="A6A6A6"/>
            <w:vAlign w:val="center"/>
          </w:tcPr>
          <w:p w14:paraId="0FA37B15" w14:textId="77777777" w:rsidR="005A2B8D" w:rsidRPr="001714BA" w:rsidRDefault="005A2B8D" w:rsidP="00BE4105">
            <w:pPr>
              <w:spacing w:after="0" w:line="240" w:lineRule="auto"/>
              <w:contextualSpacing/>
              <w:jc w:val="center"/>
              <w:rPr>
                <w:rFonts w:ascii="Arial" w:eastAsia="Times New Roman" w:hAnsi="Arial" w:cs="Arial"/>
                <w:b/>
                <w:lang w:val="x-none" w:eastAsia="x-none"/>
              </w:rPr>
            </w:pPr>
            <w:r w:rsidRPr="001714BA">
              <w:rPr>
                <w:rFonts w:ascii="Arial" w:eastAsia="Times New Roman" w:hAnsi="Arial" w:cs="Arial"/>
                <w:b/>
                <w:lang w:val="x-none" w:eastAsia="x-none"/>
              </w:rPr>
              <w:t>Reason and/or</w:t>
            </w:r>
          </w:p>
          <w:p w14:paraId="0DB586C2" w14:textId="77777777" w:rsidR="005A2B8D" w:rsidRPr="001714BA" w:rsidRDefault="005A2B8D" w:rsidP="00BE4105">
            <w:pPr>
              <w:spacing w:after="0" w:line="240" w:lineRule="auto"/>
              <w:contextualSpacing/>
              <w:jc w:val="center"/>
              <w:rPr>
                <w:rFonts w:ascii="Arial" w:eastAsia="Times New Roman" w:hAnsi="Arial" w:cs="Arial"/>
                <w:b/>
                <w:lang w:val="x-none" w:eastAsia="x-none"/>
              </w:rPr>
            </w:pPr>
            <w:r w:rsidRPr="001714BA">
              <w:rPr>
                <w:rFonts w:ascii="Arial" w:eastAsia="Times New Roman" w:hAnsi="Arial" w:cs="Arial"/>
                <w:b/>
                <w:lang w:val="x-none" w:eastAsia="x-none"/>
              </w:rPr>
              <w:t>Supporting Rule or Core</w:t>
            </w:r>
          </w:p>
          <w:p w14:paraId="07FF87D0" w14:textId="77777777" w:rsidR="005A2B8D" w:rsidRPr="001714BA" w:rsidRDefault="005A2B8D" w:rsidP="00BE4105">
            <w:pPr>
              <w:spacing w:after="0" w:line="240" w:lineRule="auto"/>
              <w:contextualSpacing/>
              <w:jc w:val="center"/>
              <w:rPr>
                <w:rFonts w:ascii="Arial" w:eastAsia="Times New Roman" w:hAnsi="Arial" w:cs="Arial"/>
                <w:b/>
                <w:lang w:val="x-none" w:eastAsia="x-none"/>
              </w:rPr>
            </w:pPr>
            <w:r w:rsidRPr="001714BA">
              <w:rPr>
                <w:rFonts w:ascii="Arial" w:eastAsia="Times New Roman" w:hAnsi="Arial" w:cs="Arial"/>
                <w:b/>
                <w:lang w:val="x-none" w:eastAsia="x-none"/>
              </w:rPr>
              <w:t>Principle</w:t>
            </w:r>
          </w:p>
        </w:tc>
      </w:tr>
      <w:tr w:rsidR="005A2B8D" w:rsidRPr="001714BA" w14:paraId="01B57FB8"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6F8A9DDF" w14:textId="3E2F1FD1" w:rsidR="006F7F97" w:rsidRPr="001714BA" w:rsidRDefault="00371273" w:rsidP="00BE4105">
            <w:pPr>
              <w:spacing w:after="0" w:line="240" w:lineRule="auto"/>
              <w:rPr>
                <w:rFonts w:ascii="Arial" w:eastAsia="Times New Roman" w:hAnsi="Arial" w:cs="Arial"/>
                <w:lang w:eastAsia="x-none"/>
              </w:rPr>
            </w:pPr>
            <w:r>
              <w:rPr>
                <w:rFonts w:ascii="Arial" w:eastAsia="Times New Roman" w:hAnsi="Arial" w:cs="Arial"/>
                <w:lang w:eastAsia="x-none"/>
              </w:rPr>
              <w:t>Compliance Manual</w:t>
            </w:r>
          </w:p>
          <w:p w14:paraId="7CDC253F" w14:textId="20C81DFF" w:rsidR="005A2B8D" w:rsidRPr="001714BA"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(Exhibit O)</w:t>
            </w:r>
          </w:p>
        </w:tc>
        <w:tc>
          <w:tcPr>
            <w:tcW w:w="5310" w:type="dxa"/>
            <w:tcBorders>
              <w:top w:val="single" w:sz="4" w:space="0" w:color="000000"/>
              <w:left w:val="single" w:sz="4" w:space="0" w:color="000000"/>
              <w:bottom w:val="single" w:sz="4" w:space="0" w:color="000000"/>
              <w:right w:val="single" w:sz="4" w:space="0" w:color="000000"/>
            </w:tcBorders>
          </w:tcPr>
          <w:p w14:paraId="4265D879" w14:textId="77777777" w:rsidR="005D255E" w:rsidRPr="005D255E" w:rsidRDefault="005D255E" w:rsidP="005D255E">
            <w:pPr>
              <w:pStyle w:val="ListParagraph"/>
              <w:rPr>
                <w:rFonts w:ascii="Arial" w:hAnsi="Arial" w:cs="Arial"/>
                <w:bCs/>
                <w:sz w:val="20"/>
                <w:szCs w:val="20"/>
              </w:rPr>
            </w:pPr>
          </w:p>
          <w:p w14:paraId="7C865CB7" w14:textId="3A142356" w:rsidR="00371273" w:rsidRPr="00371273" w:rsidRDefault="00371273" w:rsidP="00137643">
            <w:pPr>
              <w:pStyle w:val="ListParagraph"/>
              <w:numPr>
                <w:ilvl w:val="0"/>
                <w:numId w:val="17"/>
              </w:numPr>
              <w:spacing w:before="1" w:after="120" w:line="240" w:lineRule="auto"/>
              <w:ind w:right="139"/>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Substantive changes through the Compliance Manual, updating for changes in operations in connection with Equity Transfer from CME to OSTTRA, and CFTC NAL 24-25. </w:t>
            </w:r>
          </w:p>
          <w:p w14:paraId="481B46D4" w14:textId="55997E12" w:rsidR="00137643" w:rsidRPr="00987C8C" w:rsidRDefault="005D255E" w:rsidP="00137643">
            <w:pPr>
              <w:pStyle w:val="ListParagraph"/>
              <w:numPr>
                <w:ilvl w:val="0"/>
                <w:numId w:val="17"/>
              </w:numPr>
              <w:spacing w:before="1" w:after="120" w:line="240" w:lineRule="auto"/>
              <w:ind w:right="139"/>
              <w:jc w:val="both"/>
              <w:rPr>
                <w:rFonts w:ascii="Arial" w:eastAsia="Times New Roman" w:hAnsi="Arial" w:cs="Arial"/>
                <w:sz w:val="20"/>
                <w:szCs w:val="20"/>
                <w:lang w:eastAsia="x-none"/>
              </w:rPr>
            </w:pPr>
            <w:r>
              <w:rPr>
                <w:rFonts w:ascii="Arial" w:hAnsi="Arial" w:cs="Arial"/>
                <w:bCs/>
                <w:sz w:val="20"/>
                <w:szCs w:val="20"/>
              </w:rPr>
              <w:t xml:space="preserve">Clerical changes throughout the </w:t>
            </w:r>
            <w:r w:rsidR="00371273">
              <w:rPr>
                <w:rFonts w:ascii="Arial" w:hAnsi="Arial" w:cs="Arial"/>
                <w:bCs/>
                <w:sz w:val="20"/>
                <w:szCs w:val="20"/>
              </w:rPr>
              <w:t>Compliance Manual</w:t>
            </w:r>
            <w:r>
              <w:rPr>
                <w:rFonts w:ascii="Arial" w:hAnsi="Arial" w:cs="Arial"/>
                <w:bCs/>
                <w:sz w:val="20"/>
                <w:szCs w:val="20"/>
              </w:rPr>
              <w:t xml:space="preserve">, updating for NEX SEF Limited name change to OSTTRA SEF Limited. </w:t>
            </w:r>
          </w:p>
          <w:p w14:paraId="248DD56E" w14:textId="5D996B06" w:rsidR="005A2B8D" w:rsidRPr="00987C8C" w:rsidRDefault="005A2B8D" w:rsidP="002E5617">
            <w:pPr>
              <w:spacing w:after="0" w:line="240" w:lineRule="auto"/>
              <w:ind w:left="720"/>
              <w:contextualSpacing/>
              <w:jc w:val="both"/>
              <w:rPr>
                <w:rFonts w:ascii="Arial" w:eastAsia="Times New Roman" w:hAnsi="Arial" w:cs="Arial"/>
              </w:rPr>
            </w:pPr>
          </w:p>
        </w:tc>
        <w:tc>
          <w:tcPr>
            <w:tcW w:w="2864" w:type="dxa"/>
            <w:tcBorders>
              <w:top w:val="single" w:sz="4" w:space="0" w:color="000000"/>
              <w:left w:val="single" w:sz="4" w:space="0" w:color="000000"/>
              <w:bottom w:val="single" w:sz="4" w:space="0" w:color="000000"/>
              <w:right w:val="single" w:sz="4" w:space="0" w:color="000000"/>
            </w:tcBorders>
          </w:tcPr>
          <w:p w14:paraId="70419408" w14:textId="4A195E5F" w:rsidR="005A2B8D" w:rsidRPr="00987C8C" w:rsidRDefault="005A2B8D" w:rsidP="00BE4105">
            <w:pPr>
              <w:numPr>
                <w:ilvl w:val="0"/>
                <w:numId w:val="8"/>
              </w:numPr>
              <w:spacing w:after="0" w:line="240" w:lineRule="auto"/>
              <w:ind w:left="360"/>
              <w:rPr>
                <w:rFonts w:ascii="Arial" w:hAnsi="Arial" w:cs="Arial"/>
              </w:rPr>
            </w:pPr>
            <w:r w:rsidRPr="00987C8C">
              <w:rPr>
                <w:rFonts w:ascii="Arial" w:hAnsi="Arial" w:cs="Arial"/>
              </w:rPr>
              <w:t>Change</w:t>
            </w:r>
            <w:r w:rsidR="00317D5F" w:rsidRPr="00987C8C">
              <w:rPr>
                <w:rFonts w:ascii="Arial" w:hAnsi="Arial" w:cs="Arial"/>
              </w:rPr>
              <w:t>s</w:t>
            </w:r>
            <w:r w:rsidRPr="00987C8C">
              <w:rPr>
                <w:rFonts w:ascii="Arial" w:hAnsi="Arial" w:cs="Arial"/>
              </w:rPr>
              <w:t xml:space="preserve"> related to </w:t>
            </w:r>
            <w:r w:rsidR="00137643" w:rsidRPr="00987C8C">
              <w:rPr>
                <w:rFonts w:ascii="Arial" w:hAnsi="Arial" w:cs="Arial"/>
              </w:rPr>
              <w:t>NEX SEF sale to OSTTRA</w:t>
            </w:r>
          </w:p>
          <w:p w14:paraId="1ED8E427" w14:textId="35F21A9C" w:rsidR="005A2B8D" w:rsidRPr="00987C8C" w:rsidRDefault="005A2B8D" w:rsidP="00BE4105">
            <w:pPr>
              <w:numPr>
                <w:ilvl w:val="0"/>
                <w:numId w:val="8"/>
              </w:numPr>
              <w:spacing w:after="0" w:line="240" w:lineRule="auto"/>
              <w:ind w:left="360"/>
              <w:rPr>
                <w:rFonts w:ascii="Arial" w:hAnsi="Arial" w:cs="Arial"/>
              </w:rPr>
            </w:pPr>
            <w:r w:rsidRPr="00987C8C">
              <w:rPr>
                <w:rFonts w:ascii="Arial" w:hAnsi="Arial" w:cs="Arial"/>
              </w:rPr>
              <w:t>Core Principle</w:t>
            </w:r>
            <w:r w:rsidR="009B5A20" w:rsidRPr="00987C8C">
              <w:rPr>
                <w:rFonts w:ascii="Arial" w:hAnsi="Arial" w:cs="Arial"/>
              </w:rPr>
              <w:t>s</w:t>
            </w:r>
            <w:r w:rsidRPr="00987C8C">
              <w:rPr>
                <w:rFonts w:ascii="Arial" w:hAnsi="Arial" w:cs="Arial"/>
              </w:rPr>
              <w:t xml:space="preserve"> </w:t>
            </w:r>
            <w:r w:rsidR="007E10D4">
              <w:rPr>
                <w:rFonts w:ascii="Arial" w:hAnsi="Arial" w:cs="Arial"/>
              </w:rPr>
              <w:t xml:space="preserve">1, 3, </w:t>
            </w:r>
            <w:r w:rsidR="006616C5" w:rsidRPr="00987C8C">
              <w:rPr>
                <w:rFonts w:ascii="Arial" w:hAnsi="Arial" w:cs="Arial"/>
              </w:rPr>
              <w:t>4,</w:t>
            </w:r>
            <w:r w:rsidR="000368F8" w:rsidRPr="00987C8C">
              <w:rPr>
                <w:rFonts w:ascii="Arial" w:hAnsi="Arial" w:cs="Arial"/>
              </w:rPr>
              <w:t xml:space="preserve"> 7</w:t>
            </w:r>
          </w:p>
        </w:tc>
      </w:tr>
      <w:tr w:rsidR="006407D9" w:rsidRPr="001714BA" w14:paraId="52396281"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29FC03E3" w14:textId="592FB048" w:rsidR="006407D9"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Directors and Officers</w:t>
            </w:r>
          </w:p>
          <w:p w14:paraId="0E0C9729" w14:textId="62D36296" w:rsidR="004C1895"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(Exhibit B)</w:t>
            </w:r>
          </w:p>
        </w:tc>
        <w:tc>
          <w:tcPr>
            <w:tcW w:w="5310" w:type="dxa"/>
            <w:tcBorders>
              <w:top w:val="single" w:sz="4" w:space="0" w:color="000000"/>
              <w:left w:val="single" w:sz="4" w:space="0" w:color="000000"/>
              <w:bottom w:val="single" w:sz="4" w:space="0" w:color="000000"/>
              <w:right w:val="single" w:sz="4" w:space="0" w:color="000000"/>
            </w:tcBorders>
          </w:tcPr>
          <w:p w14:paraId="42EF8E2C"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 xml:space="preserve">Updated listing of Directors and Officers, consistent with the CCO notification of changes to the Board, Officers and CCO provided to the CFTC on October 13, 2025. </w:t>
            </w:r>
          </w:p>
          <w:p w14:paraId="140FC31C" w14:textId="77777777" w:rsidR="006407D9" w:rsidRPr="005D255E" w:rsidRDefault="006407D9" w:rsidP="005D255E">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00B92557" w14:textId="77777777" w:rsidR="004C1895" w:rsidRPr="00987C8C" w:rsidRDefault="004C1895" w:rsidP="004C1895">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3BBCBA07" w14:textId="34E634D1" w:rsidR="006407D9" w:rsidRPr="00987C8C" w:rsidRDefault="004C1895" w:rsidP="00BE4105">
            <w:pPr>
              <w:numPr>
                <w:ilvl w:val="0"/>
                <w:numId w:val="8"/>
              </w:numPr>
              <w:spacing w:after="0" w:line="240" w:lineRule="auto"/>
              <w:ind w:left="360"/>
              <w:rPr>
                <w:rFonts w:ascii="Arial" w:hAnsi="Arial" w:cs="Arial"/>
              </w:rPr>
            </w:pPr>
            <w:r>
              <w:rPr>
                <w:rFonts w:ascii="Arial" w:hAnsi="Arial" w:cs="Arial"/>
              </w:rPr>
              <w:t>Core Principle 2</w:t>
            </w:r>
          </w:p>
        </w:tc>
      </w:tr>
      <w:tr w:rsidR="006407D9" w:rsidRPr="001714BA" w14:paraId="208CE545"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3DF3A912" w14:textId="77777777" w:rsidR="006407D9"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Fitness</w:t>
            </w:r>
          </w:p>
          <w:p w14:paraId="3E7C3CD4" w14:textId="7A0A0D60" w:rsidR="004C1895"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w:t>
            </w:r>
            <w:r>
              <w:rPr>
                <w:rFonts w:ascii="Arial" w:eastAsia="Times New Roman" w:hAnsi="Arial" w:cs="Arial"/>
                <w:lang w:eastAsia="x-none"/>
              </w:rPr>
              <w:t>Exhibit</w:t>
            </w:r>
            <w:r>
              <w:rPr>
                <w:rFonts w:ascii="Arial" w:eastAsia="Times New Roman" w:hAnsi="Arial" w:cs="Arial"/>
                <w:lang w:eastAsia="x-none"/>
              </w:rPr>
              <w:t xml:space="preserve"> C)</w:t>
            </w:r>
          </w:p>
        </w:tc>
        <w:tc>
          <w:tcPr>
            <w:tcW w:w="5310" w:type="dxa"/>
            <w:tcBorders>
              <w:top w:val="single" w:sz="4" w:space="0" w:color="000000"/>
              <w:left w:val="single" w:sz="4" w:space="0" w:color="000000"/>
              <w:bottom w:val="single" w:sz="4" w:space="0" w:color="000000"/>
              <w:right w:val="single" w:sz="4" w:space="0" w:color="000000"/>
            </w:tcBorders>
          </w:tcPr>
          <w:p w14:paraId="35DD3B22"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Updated to reflect NEX SEF Limited name change to OSTTRA SEF Limited.</w:t>
            </w:r>
          </w:p>
          <w:p w14:paraId="3F3678F1" w14:textId="77777777" w:rsidR="006407D9" w:rsidRPr="005D255E" w:rsidRDefault="006407D9" w:rsidP="005D255E">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1E30A110" w14:textId="77777777" w:rsidR="004C1895" w:rsidRPr="00987C8C" w:rsidRDefault="004C1895" w:rsidP="004C1895">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27CA8CEB" w14:textId="4A9FAB6B" w:rsidR="006407D9" w:rsidRPr="00987C8C" w:rsidRDefault="004C1895" w:rsidP="004C1895">
            <w:pPr>
              <w:numPr>
                <w:ilvl w:val="0"/>
                <w:numId w:val="8"/>
              </w:numPr>
              <w:spacing w:after="0" w:line="240" w:lineRule="auto"/>
              <w:ind w:left="360"/>
              <w:rPr>
                <w:rFonts w:ascii="Arial" w:hAnsi="Arial" w:cs="Arial"/>
              </w:rPr>
            </w:pPr>
            <w:r>
              <w:rPr>
                <w:rFonts w:ascii="Arial" w:hAnsi="Arial" w:cs="Arial"/>
              </w:rPr>
              <w:t>Core Principle 2</w:t>
            </w:r>
          </w:p>
        </w:tc>
      </w:tr>
      <w:tr w:rsidR="001D662B" w:rsidRPr="001714BA" w14:paraId="676E819D"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2F4436E1" w14:textId="77777777" w:rsidR="001D662B"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Personnel Qualification Description</w:t>
            </w:r>
          </w:p>
          <w:p w14:paraId="6D316A0B" w14:textId="1103BEBD" w:rsidR="004C1895"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(Exhibit E)</w:t>
            </w:r>
          </w:p>
        </w:tc>
        <w:tc>
          <w:tcPr>
            <w:tcW w:w="5310" w:type="dxa"/>
            <w:tcBorders>
              <w:top w:val="single" w:sz="4" w:space="0" w:color="000000"/>
              <w:left w:val="single" w:sz="4" w:space="0" w:color="000000"/>
              <w:bottom w:val="single" w:sz="4" w:space="0" w:color="000000"/>
              <w:right w:val="single" w:sz="4" w:space="0" w:color="000000"/>
            </w:tcBorders>
          </w:tcPr>
          <w:p w14:paraId="1FF67E77"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Updated to reflect NEX SEF Limited name change to OSTTRA SEF Limited.</w:t>
            </w:r>
          </w:p>
          <w:p w14:paraId="1BBE202F" w14:textId="77777777" w:rsidR="001D662B" w:rsidRPr="005D255E" w:rsidRDefault="001D662B" w:rsidP="005D255E">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6A800215" w14:textId="77777777" w:rsidR="004C1895" w:rsidRPr="00987C8C" w:rsidRDefault="004C1895" w:rsidP="004C1895">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67E56C09" w14:textId="4BDCD424" w:rsidR="001D662B" w:rsidRPr="00987C8C" w:rsidRDefault="004C1895" w:rsidP="004C1895">
            <w:pPr>
              <w:numPr>
                <w:ilvl w:val="0"/>
                <w:numId w:val="8"/>
              </w:numPr>
              <w:spacing w:after="0" w:line="240" w:lineRule="auto"/>
              <w:ind w:left="360"/>
              <w:rPr>
                <w:rFonts w:ascii="Arial" w:hAnsi="Arial" w:cs="Arial"/>
              </w:rPr>
            </w:pPr>
            <w:r>
              <w:rPr>
                <w:rFonts w:ascii="Arial" w:hAnsi="Arial" w:cs="Arial"/>
              </w:rPr>
              <w:t>Core Principle 2</w:t>
            </w:r>
          </w:p>
        </w:tc>
      </w:tr>
      <w:tr w:rsidR="001D662B" w:rsidRPr="001714BA" w14:paraId="63BAD6A7"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1129BB40" w14:textId="77777777" w:rsidR="001D662B"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Staffing Requirements</w:t>
            </w:r>
          </w:p>
          <w:p w14:paraId="76E114C5" w14:textId="28B9E8B5" w:rsidR="004C1895" w:rsidRDefault="004C1895" w:rsidP="00BE4105">
            <w:pPr>
              <w:spacing w:after="0" w:line="240" w:lineRule="auto"/>
              <w:rPr>
                <w:rFonts w:ascii="Arial" w:eastAsia="Times New Roman" w:hAnsi="Arial" w:cs="Arial"/>
                <w:lang w:eastAsia="x-none"/>
              </w:rPr>
            </w:pPr>
            <w:r>
              <w:rPr>
                <w:rFonts w:ascii="Arial" w:eastAsia="Times New Roman" w:hAnsi="Arial" w:cs="Arial"/>
                <w:lang w:eastAsia="x-none"/>
              </w:rPr>
              <w:t>(Exhibit F)</w:t>
            </w:r>
          </w:p>
        </w:tc>
        <w:tc>
          <w:tcPr>
            <w:tcW w:w="5310" w:type="dxa"/>
            <w:tcBorders>
              <w:top w:val="single" w:sz="4" w:space="0" w:color="000000"/>
              <w:left w:val="single" w:sz="4" w:space="0" w:color="000000"/>
              <w:bottom w:val="single" w:sz="4" w:space="0" w:color="000000"/>
              <w:right w:val="single" w:sz="4" w:space="0" w:color="000000"/>
            </w:tcBorders>
          </w:tcPr>
          <w:p w14:paraId="00979C04"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Updated to reflect NEX SEF Limited name change to OSTTRA SEF Limited</w:t>
            </w:r>
            <w:r>
              <w:rPr>
                <w:rFonts w:ascii="Arial" w:eastAsia="Times New Roman" w:hAnsi="Arial" w:cs="Arial"/>
                <w:sz w:val="20"/>
                <w:szCs w:val="20"/>
                <w:lang w:eastAsia="x-none"/>
              </w:rPr>
              <w:t>, as well as the changes in connection with the Equity Transfer Certification submitted on October 13, 2025.</w:t>
            </w:r>
          </w:p>
          <w:p w14:paraId="33E6CFB0" w14:textId="77777777" w:rsidR="001D662B" w:rsidRPr="005D255E" w:rsidRDefault="001D662B" w:rsidP="005D255E">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71C35439" w14:textId="77777777" w:rsidR="004C1895" w:rsidRPr="00987C8C" w:rsidRDefault="004C1895" w:rsidP="004C1895">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38BA722C" w14:textId="6D83052B" w:rsidR="001D662B" w:rsidRPr="00987C8C" w:rsidRDefault="004C1895" w:rsidP="004C1895">
            <w:pPr>
              <w:numPr>
                <w:ilvl w:val="0"/>
                <w:numId w:val="8"/>
              </w:numPr>
              <w:spacing w:after="0" w:line="240" w:lineRule="auto"/>
              <w:ind w:left="360"/>
              <w:rPr>
                <w:rFonts w:ascii="Arial" w:hAnsi="Arial" w:cs="Arial"/>
              </w:rPr>
            </w:pPr>
            <w:r>
              <w:rPr>
                <w:rFonts w:ascii="Arial" w:hAnsi="Arial" w:cs="Arial"/>
              </w:rPr>
              <w:t>Core Principle 2</w:t>
            </w:r>
          </w:p>
        </w:tc>
      </w:tr>
      <w:tr w:rsidR="00D639A0" w:rsidRPr="001714BA" w14:paraId="46FB6E2A"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221DC493" w14:textId="77777777" w:rsidR="00D639A0" w:rsidRDefault="00D639A0" w:rsidP="00D639A0">
            <w:pPr>
              <w:spacing w:after="0" w:line="240" w:lineRule="auto"/>
              <w:rPr>
                <w:rFonts w:ascii="Arial" w:eastAsia="Times New Roman" w:hAnsi="Arial" w:cs="Arial"/>
                <w:lang w:eastAsia="x-none"/>
              </w:rPr>
            </w:pPr>
            <w:r>
              <w:rPr>
                <w:rFonts w:ascii="Arial" w:eastAsia="Times New Roman" w:hAnsi="Arial" w:cs="Arial"/>
                <w:lang w:eastAsia="x-none"/>
              </w:rPr>
              <w:lastRenderedPageBreak/>
              <w:t>Organizational Documents</w:t>
            </w:r>
          </w:p>
          <w:p w14:paraId="030EA53B" w14:textId="32802E44" w:rsidR="00D639A0" w:rsidRDefault="00D639A0" w:rsidP="00D639A0">
            <w:pPr>
              <w:spacing w:after="0" w:line="240" w:lineRule="auto"/>
              <w:rPr>
                <w:rFonts w:ascii="Arial" w:eastAsia="Times New Roman" w:hAnsi="Arial" w:cs="Arial"/>
                <w:lang w:eastAsia="x-none"/>
              </w:rPr>
            </w:pPr>
            <w:r>
              <w:rPr>
                <w:rFonts w:ascii="Arial" w:eastAsia="Times New Roman" w:hAnsi="Arial" w:cs="Arial"/>
                <w:lang w:eastAsia="x-none"/>
              </w:rPr>
              <w:t>(Exhibit G1a)</w:t>
            </w:r>
          </w:p>
        </w:tc>
        <w:tc>
          <w:tcPr>
            <w:tcW w:w="5310" w:type="dxa"/>
            <w:tcBorders>
              <w:top w:val="single" w:sz="4" w:space="0" w:color="000000"/>
              <w:left w:val="single" w:sz="4" w:space="0" w:color="000000"/>
              <w:bottom w:val="single" w:sz="4" w:space="0" w:color="000000"/>
              <w:right w:val="single" w:sz="4" w:space="0" w:color="000000"/>
            </w:tcBorders>
          </w:tcPr>
          <w:p w14:paraId="70984447"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Updated to reflect NEX SEF Limited name change to OSTTRA SEF Limited.</w:t>
            </w:r>
          </w:p>
          <w:p w14:paraId="63E57C5B" w14:textId="77777777" w:rsidR="00D639A0" w:rsidRPr="005D255E" w:rsidRDefault="00D639A0" w:rsidP="00D639A0">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566A2334" w14:textId="77777777" w:rsidR="00D639A0" w:rsidRPr="00987C8C" w:rsidRDefault="00D639A0" w:rsidP="00D639A0">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75E0AA8A" w14:textId="40D560FA" w:rsidR="00D639A0" w:rsidRPr="00987C8C" w:rsidRDefault="00D639A0" w:rsidP="00D639A0">
            <w:pPr>
              <w:numPr>
                <w:ilvl w:val="0"/>
                <w:numId w:val="8"/>
              </w:numPr>
              <w:spacing w:after="0" w:line="240" w:lineRule="auto"/>
              <w:ind w:left="360"/>
              <w:rPr>
                <w:rFonts w:ascii="Arial" w:hAnsi="Arial" w:cs="Arial"/>
              </w:rPr>
            </w:pPr>
            <w:r>
              <w:rPr>
                <w:rFonts w:ascii="Arial" w:hAnsi="Arial" w:cs="Arial"/>
              </w:rPr>
              <w:t>Core Principle 2</w:t>
            </w:r>
          </w:p>
        </w:tc>
      </w:tr>
      <w:tr w:rsidR="00D639A0" w:rsidRPr="001714BA" w14:paraId="2A9DD800"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70382AD6" w14:textId="77777777" w:rsidR="00D639A0" w:rsidRDefault="00D639A0" w:rsidP="00D639A0">
            <w:pPr>
              <w:spacing w:after="0" w:line="240" w:lineRule="auto"/>
              <w:rPr>
                <w:rFonts w:ascii="Arial" w:eastAsia="Times New Roman" w:hAnsi="Arial" w:cs="Arial"/>
                <w:lang w:eastAsia="x-none"/>
              </w:rPr>
            </w:pPr>
            <w:r>
              <w:rPr>
                <w:rFonts w:ascii="Arial" w:eastAsia="Times New Roman" w:hAnsi="Arial" w:cs="Arial"/>
                <w:lang w:eastAsia="x-none"/>
              </w:rPr>
              <w:t>Listing of Material Legal Proceedings</w:t>
            </w:r>
          </w:p>
          <w:p w14:paraId="49EDD99D" w14:textId="1B78EC3F" w:rsidR="00D639A0" w:rsidRDefault="00D639A0" w:rsidP="00D639A0">
            <w:pPr>
              <w:spacing w:after="0" w:line="240" w:lineRule="auto"/>
              <w:rPr>
                <w:rFonts w:ascii="Arial" w:eastAsia="Times New Roman" w:hAnsi="Arial" w:cs="Arial"/>
                <w:lang w:eastAsia="x-none"/>
              </w:rPr>
            </w:pPr>
            <w:r>
              <w:rPr>
                <w:rFonts w:ascii="Arial" w:eastAsia="Times New Roman" w:hAnsi="Arial" w:cs="Arial"/>
                <w:lang w:eastAsia="x-none"/>
              </w:rPr>
              <w:t>(Exhibits H-H1)</w:t>
            </w:r>
          </w:p>
        </w:tc>
        <w:tc>
          <w:tcPr>
            <w:tcW w:w="5310" w:type="dxa"/>
            <w:tcBorders>
              <w:top w:val="single" w:sz="4" w:space="0" w:color="000000"/>
              <w:left w:val="single" w:sz="4" w:space="0" w:color="000000"/>
              <w:bottom w:val="single" w:sz="4" w:space="0" w:color="000000"/>
              <w:right w:val="single" w:sz="4" w:space="0" w:color="000000"/>
            </w:tcBorders>
          </w:tcPr>
          <w:p w14:paraId="5348E5F9"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Updated to reflect NEX SEF Limited name change to OSTTRA SEF Limited</w:t>
            </w:r>
            <w:r>
              <w:rPr>
                <w:rFonts w:ascii="Arial" w:eastAsia="Times New Roman" w:hAnsi="Arial" w:cs="Arial"/>
                <w:sz w:val="20"/>
                <w:szCs w:val="20"/>
                <w:lang w:eastAsia="x-none"/>
              </w:rPr>
              <w:t>, as well as the changes in connection with the Equity Transfer Certification submitted on October 13, 2025.</w:t>
            </w:r>
          </w:p>
          <w:p w14:paraId="44C23713" w14:textId="77777777" w:rsidR="00D639A0" w:rsidRPr="005D255E" w:rsidRDefault="00D639A0" w:rsidP="00D639A0">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54F61D8D" w14:textId="77777777" w:rsidR="00D639A0" w:rsidRPr="00987C8C" w:rsidRDefault="00D639A0" w:rsidP="00D639A0">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69C7A1FA" w14:textId="00D8960C" w:rsidR="00D639A0" w:rsidRPr="00987C8C" w:rsidRDefault="00D639A0" w:rsidP="00D639A0">
            <w:pPr>
              <w:numPr>
                <w:ilvl w:val="0"/>
                <w:numId w:val="8"/>
              </w:numPr>
              <w:spacing w:after="0" w:line="240" w:lineRule="auto"/>
              <w:ind w:left="360"/>
              <w:rPr>
                <w:rFonts w:ascii="Arial" w:hAnsi="Arial" w:cs="Arial"/>
              </w:rPr>
            </w:pPr>
            <w:r>
              <w:rPr>
                <w:rFonts w:ascii="Arial" w:hAnsi="Arial" w:cs="Arial"/>
              </w:rPr>
              <w:t>Core Principle 2</w:t>
            </w:r>
          </w:p>
        </w:tc>
      </w:tr>
      <w:tr w:rsidR="00D639A0" w:rsidRPr="001714BA" w14:paraId="6DE50B23"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5D3C4DBE" w14:textId="5DF44B3D" w:rsidR="00D639A0" w:rsidRDefault="00D639A0" w:rsidP="00D639A0">
            <w:pPr>
              <w:spacing w:after="0" w:line="240" w:lineRule="auto"/>
              <w:rPr>
                <w:rFonts w:ascii="Arial" w:eastAsia="Times New Roman" w:hAnsi="Arial" w:cs="Arial"/>
                <w:lang w:eastAsia="x-none"/>
              </w:rPr>
            </w:pPr>
            <w:r>
              <w:rPr>
                <w:rFonts w:ascii="Arial" w:eastAsia="Times New Roman" w:hAnsi="Arial" w:cs="Arial"/>
                <w:lang w:eastAsia="x-none"/>
              </w:rPr>
              <w:t>SEF Affiliate Financials (Exhibit J)</w:t>
            </w:r>
          </w:p>
        </w:tc>
        <w:tc>
          <w:tcPr>
            <w:tcW w:w="5310" w:type="dxa"/>
            <w:tcBorders>
              <w:top w:val="single" w:sz="4" w:space="0" w:color="000000"/>
              <w:left w:val="single" w:sz="4" w:space="0" w:color="000000"/>
              <w:bottom w:val="single" w:sz="4" w:space="0" w:color="000000"/>
              <w:right w:val="single" w:sz="4" w:space="0" w:color="000000"/>
            </w:tcBorders>
          </w:tcPr>
          <w:p w14:paraId="2EAB54DB" w14:textId="77777777" w:rsidR="00D639A0" w:rsidRPr="00D639A0" w:rsidRDefault="00D639A0" w:rsidP="00D639A0">
            <w:pPr>
              <w:spacing w:after="0" w:line="240" w:lineRule="auto"/>
              <w:ind w:right="139"/>
              <w:jc w:val="both"/>
              <w:rPr>
                <w:rFonts w:ascii="Arial" w:eastAsia="Times New Roman" w:hAnsi="Arial" w:cs="Arial"/>
                <w:sz w:val="20"/>
                <w:szCs w:val="20"/>
                <w:lang w:eastAsia="x-none"/>
              </w:rPr>
            </w:pPr>
            <w:r w:rsidRPr="00D639A0">
              <w:rPr>
                <w:rFonts w:ascii="Arial" w:eastAsia="Times New Roman" w:hAnsi="Arial" w:cs="Arial"/>
                <w:sz w:val="20"/>
                <w:szCs w:val="20"/>
                <w:lang w:eastAsia="x-none"/>
              </w:rPr>
              <w:t>Updated to reflect NEX SEF Limited name change to OSTTRA SEF Limited</w:t>
            </w:r>
            <w:r>
              <w:rPr>
                <w:rFonts w:ascii="Arial" w:eastAsia="Times New Roman" w:hAnsi="Arial" w:cs="Arial"/>
                <w:sz w:val="20"/>
                <w:szCs w:val="20"/>
                <w:lang w:eastAsia="x-none"/>
              </w:rPr>
              <w:t>, as well as the changes in connection with the Equity Transfer Certification submitted on October 13, 2025.</w:t>
            </w:r>
          </w:p>
          <w:p w14:paraId="6D7F474A" w14:textId="77777777" w:rsidR="00D639A0" w:rsidRPr="005D255E" w:rsidRDefault="00D639A0" w:rsidP="00D639A0">
            <w:pPr>
              <w:pStyle w:val="ListParagraph"/>
              <w:rPr>
                <w:rFonts w:ascii="Arial" w:hAnsi="Arial" w:cs="Arial"/>
                <w:bCs/>
                <w:sz w:val="20"/>
                <w:szCs w:val="20"/>
              </w:rPr>
            </w:pPr>
          </w:p>
        </w:tc>
        <w:tc>
          <w:tcPr>
            <w:tcW w:w="2864" w:type="dxa"/>
            <w:tcBorders>
              <w:top w:val="single" w:sz="4" w:space="0" w:color="000000"/>
              <w:left w:val="single" w:sz="4" w:space="0" w:color="000000"/>
              <w:bottom w:val="single" w:sz="4" w:space="0" w:color="000000"/>
              <w:right w:val="single" w:sz="4" w:space="0" w:color="000000"/>
            </w:tcBorders>
          </w:tcPr>
          <w:p w14:paraId="10010C73" w14:textId="77777777" w:rsidR="00D639A0" w:rsidRPr="00987C8C" w:rsidRDefault="00D639A0" w:rsidP="00D639A0">
            <w:pPr>
              <w:numPr>
                <w:ilvl w:val="0"/>
                <w:numId w:val="8"/>
              </w:numPr>
              <w:spacing w:after="0" w:line="240" w:lineRule="auto"/>
              <w:ind w:left="360"/>
              <w:rPr>
                <w:rFonts w:ascii="Arial" w:hAnsi="Arial" w:cs="Arial"/>
              </w:rPr>
            </w:pPr>
            <w:r w:rsidRPr="00987C8C">
              <w:rPr>
                <w:rFonts w:ascii="Arial" w:hAnsi="Arial" w:cs="Arial"/>
              </w:rPr>
              <w:t>Changes related to NEX SEF sale to OSTTRA</w:t>
            </w:r>
          </w:p>
          <w:p w14:paraId="46DED6D9" w14:textId="13475333" w:rsidR="00D639A0" w:rsidRPr="00987C8C" w:rsidRDefault="00D639A0" w:rsidP="00D639A0">
            <w:pPr>
              <w:numPr>
                <w:ilvl w:val="0"/>
                <w:numId w:val="8"/>
              </w:numPr>
              <w:spacing w:after="0" w:line="240" w:lineRule="auto"/>
              <w:ind w:left="360"/>
              <w:rPr>
                <w:rFonts w:ascii="Arial" w:hAnsi="Arial" w:cs="Arial"/>
              </w:rPr>
            </w:pPr>
            <w:r>
              <w:rPr>
                <w:rFonts w:ascii="Arial" w:hAnsi="Arial" w:cs="Arial"/>
              </w:rPr>
              <w:t>Core Principle 2</w:t>
            </w:r>
          </w:p>
        </w:tc>
      </w:tr>
    </w:tbl>
    <w:p w14:paraId="285C6637" w14:textId="6D1B6176" w:rsidR="00857E1C" w:rsidRPr="005B408A" w:rsidRDefault="00E369E9" w:rsidP="00896E8D">
      <w:pPr>
        <w:spacing w:after="0" w:line="240" w:lineRule="auto"/>
        <w:jc w:val="center"/>
        <w:rPr>
          <w:rFonts w:ascii="Arial" w:eastAsia="Times New Roman" w:hAnsi="Arial" w:cs="Arial"/>
          <w:bCs/>
          <w:sz w:val="20"/>
          <w:szCs w:val="20"/>
        </w:rPr>
      </w:pPr>
      <w:r>
        <w:rPr>
          <w:rFonts w:ascii="Arial" w:hAnsi="Arial" w:cs="Arial"/>
          <w:sz w:val="20"/>
        </w:rPr>
        <w:br w:type="page"/>
      </w:r>
      <w:bookmarkStart w:id="4" w:name="_Hlk78914879"/>
    </w:p>
    <w:bookmarkEnd w:id="4"/>
    <w:p w14:paraId="4DC04D2F" w14:textId="7EDB5031" w:rsidR="009F0481" w:rsidRPr="005B408A" w:rsidRDefault="009F0481" w:rsidP="00A97862">
      <w:pPr>
        <w:tabs>
          <w:tab w:val="num" w:pos="1080"/>
        </w:tabs>
        <w:spacing w:after="0" w:line="240" w:lineRule="auto"/>
        <w:jc w:val="center"/>
        <w:outlineLvl w:val="0"/>
        <w:rPr>
          <w:rFonts w:ascii="Arial" w:eastAsia="Times New Roman" w:hAnsi="Arial" w:cs="Arial"/>
          <w:bCs/>
          <w:sz w:val="20"/>
          <w:szCs w:val="20"/>
        </w:rPr>
      </w:pPr>
    </w:p>
    <w:sectPr w:rsidR="009F0481" w:rsidRPr="005B408A" w:rsidSect="00E149FF">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51F9" w14:textId="77777777" w:rsidR="003B5CEA" w:rsidRDefault="003B5CEA" w:rsidP="0093072E">
      <w:pPr>
        <w:spacing w:after="0" w:line="240" w:lineRule="auto"/>
      </w:pPr>
      <w:r>
        <w:separator/>
      </w:r>
    </w:p>
  </w:endnote>
  <w:endnote w:type="continuationSeparator" w:id="0">
    <w:p w14:paraId="6020240D" w14:textId="77777777" w:rsidR="003B5CEA" w:rsidRDefault="003B5CEA" w:rsidP="0093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350B" w14:textId="77777777" w:rsidR="008C6EDA" w:rsidRDefault="008C6EDA" w:rsidP="00AA2C9B">
    <w:pPr>
      <w:pStyle w:val="Footer"/>
      <w:jc w:val="center"/>
      <w:rPr>
        <w:color w:val="3366FF"/>
        <w:sz w:val="16"/>
        <w:szCs w:val="16"/>
      </w:rPr>
    </w:pPr>
  </w:p>
  <w:p w14:paraId="6739D4FD" w14:textId="77777777" w:rsidR="008C6EDA" w:rsidRDefault="008C6EDA" w:rsidP="00AA2C9B">
    <w:pPr>
      <w:pStyle w:val="Footer"/>
      <w:jc w:val="center"/>
      <w:rPr>
        <w:color w:val="3366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92F" w14:textId="6545CFB1" w:rsidR="00D567FF" w:rsidRPr="00D567FF" w:rsidRDefault="00407215" w:rsidP="00D567FF">
    <w:pPr>
      <w:tabs>
        <w:tab w:val="center" w:pos="4680"/>
        <w:tab w:val="right" w:pos="9360"/>
      </w:tabs>
      <w:jc w:val="center"/>
      <w:rPr>
        <w:color w:val="3366FF"/>
        <w:sz w:val="16"/>
        <w:szCs w:val="16"/>
      </w:rPr>
    </w:pPr>
    <w:r>
      <w:rPr>
        <w:color w:val="3366FF"/>
        <w:sz w:val="16"/>
        <w:szCs w:val="16"/>
      </w:rPr>
      <w:t>irina</w:t>
    </w:r>
    <w:r w:rsidR="00E344F8">
      <w:rPr>
        <w:color w:val="3366FF"/>
        <w:sz w:val="16"/>
        <w:szCs w:val="16"/>
      </w:rPr>
      <w:t>.</w:t>
    </w:r>
    <w:r>
      <w:rPr>
        <w:color w:val="3366FF"/>
        <w:sz w:val="16"/>
        <w:szCs w:val="16"/>
      </w:rPr>
      <w:t>bauer</w:t>
    </w:r>
    <w:r w:rsidR="00D567FF" w:rsidRPr="00D567FF">
      <w:rPr>
        <w:color w:val="3366FF"/>
        <w:sz w:val="16"/>
        <w:szCs w:val="16"/>
      </w:rPr>
      <w:t>@</w:t>
    </w:r>
    <w:r>
      <w:rPr>
        <w:color w:val="3366FF"/>
        <w:sz w:val="16"/>
        <w:szCs w:val="16"/>
      </w:rPr>
      <w:t>osttra</w:t>
    </w:r>
    <w:r w:rsidR="00D567FF" w:rsidRPr="00D567FF">
      <w:rPr>
        <w:color w:val="3366FF"/>
        <w:sz w:val="16"/>
        <w:szCs w:val="16"/>
      </w:rPr>
      <w:t xml:space="preserve">.com   </w:t>
    </w:r>
    <w:r>
      <w:rPr>
        <w:color w:val="3366FF"/>
        <w:sz w:val="16"/>
        <w:szCs w:val="16"/>
      </w:rPr>
      <w:t>osttra</w:t>
    </w:r>
    <w:r w:rsidR="00D567FF" w:rsidRPr="00D567FF">
      <w:rPr>
        <w:color w:val="3366FF"/>
        <w:sz w:val="16"/>
        <w:szCs w:val="16"/>
      </w:rPr>
      <w:t>.com</w:t>
    </w:r>
  </w:p>
  <w:p w14:paraId="70239D2D" w14:textId="77777777" w:rsidR="0074285F" w:rsidRPr="006F6887" w:rsidRDefault="0074285F" w:rsidP="006F6887">
    <w:pPr>
      <w:pStyle w:val="Footer"/>
      <w:jc w:val="center"/>
      <w:rPr>
        <w:rFonts w:ascii="Arial" w:hAnsi="Arial" w:cs="Arial"/>
        <w:sz w:val="18"/>
        <w:szCs w:val="18"/>
      </w:rPr>
    </w:pPr>
    <w:r w:rsidRPr="006F6887">
      <w:rPr>
        <w:rFonts w:ascii="Arial" w:hAnsi="Arial" w:cs="Arial"/>
        <w:sz w:val="18"/>
        <w:szCs w:val="18"/>
      </w:rPr>
      <w:fldChar w:fldCharType="begin"/>
    </w:r>
    <w:r w:rsidRPr="006F6887">
      <w:rPr>
        <w:rFonts w:ascii="Arial" w:hAnsi="Arial" w:cs="Arial"/>
        <w:sz w:val="18"/>
        <w:szCs w:val="18"/>
      </w:rPr>
      <w:instrText xml:space="preserve"> PAGE   \* MERGEFORMAT </w:instrText>
    </w:r>
    <w:r w:rsidRPr="006F6887">
      <w:rPr>
        <w:rFonts w:ascii="Arial" w:hAnsi="Arial" w:cs="Arial"/>
        <w:sz w:val="18"/>
        <w:szCs w:val="18"/>
      </w:rPr>
      <w:fldChar w:fldCharType="separate"/>
    </w:r>
    <w:r w:rsidRPr="006F6887">
      <w:rPr>
        <w:rFonts w:ascii="Arial" w:hAnsi="Arial" w:cs="Arial"/>
        <w:noProof/>
        <w:sz w:val="18"/>
        <w:szCs w:val="18"/>
      </w:rPr>
      <w:t>2</w:t>
    </w:r>
    <w:r w:rsidRPr="006F688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1096" w14:textId="33C44E7E" w:rsidR="00AA2C9B" w:rsidRPr="006F6887" w:rsidRDefault="006F6887" w:rsidP="006F6887">
    <w:pPr>
      <w:pStyle w:val="Footer"/>
      <w:jc w:val="center"/>
      <w:rPr>
        <w:rFonts w:ascii="Arial" w:hAnsi="Arial" w:cs="Arial"/>
        <w:sz w:val="18"/>
        <w:szCs w:val="18"/>
      </w:rPr>
    </w:pPr>
    <w:r w:rsidRPr="006F6887">
      <w:rPr>
        <w:rFonts w:ascii="Arial" w:hAnsi="Arial" w:cs="Arial"/>
        <w:sz w:val="18"/>
        <w:szCs w:val="18"/>
      </w:rPr>
      <w:fldChar w:fldCharType="begin"/>
    </w:r>
    <w:r w:rsidRPr="006F6887">
      <w:rPr>
        <w:rFonts w:ascii="Arial" w:hAnsi="Arial" w:cs="Arial"/>
        <w:sz w:val="18"/>
        <w:szCs w:val="18"/>
      </w:rPr>
      <w:instrText xml:space="preserve"> PAGE   \* MERGEFORMAT </w:instrText>
    </w:r>
    <w:r w:rsidRPr="006F6887">
      <w:rPr>
        <w:rFonts w:ascii="Arial" w:hAnsi="Arial" w:cs="Arial"/>
        <w:sz w:val="18"/>
        <w:szCs w:val="18"/>
      </w:rPr>
      <w:fldChar w:fldCharType="separate"/>
    </w:r>
    <w:r w:rsidRPr="006F6887">
      <w:rPr>
        <w:rFonts w:ascii="Arial" w:hAnsi="Arial" w:cs="Arial"/>
        <w:noProof/>
        <w:sz w:val="18"/>
        <w:szCs w:val="18"/>
      </w:rPr>
      <w:t>2</w:t>
    </w:r>
    <w:r w:rsidRPr="006F688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B078" w14:textId="77777777" w:rsidR="003B5CEA" w:rsidRDefault="003B5CEA" w:rsidP="0093072E">
      <w:pPr>
        <w:spacing w:after="0" w:line="240" w:lineRule="auto"/>
      </w:pPr>
      <w:r>
        <w:separator/>
      </w:r>
    </w:p>
  </w:footnote>
  <w:footnote w:type="continuationSeparator" w:id="0">
    <w:p w14:paraId="37B1D75C" w14:textId="77777777" w:rsidR="003B5CEA" w:rsidRDefault="003B5CEA" w:rsidP="0093072E">
      <w:pPr>
        <w:spacing w:after="0" w:line="240" w:lineRule="auto"/>
      </w:pPr>
      <w:r>
        <w:continuationSeparator/>
      </w:r>
    </w:p>
  </w:footnote>
  <w:footnote w:id="1">
    <w:p w14:paraId="2A206F15" w14:textId="60BEF699" w:rsidR="00283F50" w:rsidRPr="00283F50" w:rsidRDefault="00283F50">
      <w:pPr>
        <w:pStyle w:val="FootnoteText"/>
        <w:rPr>
          <w:rFonts w:ascii="Arial" w:hAnsi="Arial" w:cs="Arial"/>
        </w:rPr>
      </w:pPr>
      <w:r w:rsidRPr="00283F50">
        <w:rPr>
          <w:rStyle w:val="FootnoteReference"/>
          <w:rFonts w:ascii="Arial" w:hAnsi="Arial" w:cs="Arial"/>
          <w:sz w:val="16"/>
          <w:szCs w:val="16"/>
        </w:rPr>
        <w:footnoteRef/>
      </w:r>
      <w:r w:rsidRPr="00283F50">
        <w:rPr>
          <w:rFonts w:ascii="Arial" w:hAnsi="Arial" w:cs="Arial"/>
          <w:sz w:val="16"/>
          <w:szCs w:val="16"/>
        </w:rPr>
        <w:t xml:space="preserve"> </w:t>
      </w:r>
      <w:r w:rsidRPr="00283F50">
        <w:rPr>
          <w:rFonts w:ascii="Arial" w:hAnsi="Arial" w:cs="Arial"/>
          <w:sz w:val="16"/>
          <w:szCs w:val="16"/>
          <w:u w:val="single"/>
        </w:rPr>
        <w:t>See</w:t>
      </w:r>
      <w:r w:rsidRPr="00283F50">
        <w:rPr>
          <w:rFonts w:ascii="Arial" w:hAnsi="Arial" w:cs="Arial"/>
          <w:sz w:val="16"/>
          <w:szCs w:val="16"/>
        </w:rPr>
        <w:t xml:space="preserve"> 78 </w:t>
      </w:r>
      <w:r w:rsidRPr="00283F50">
        <w:rPr>
          <w:rFonts w:ascii="Arial" w:hAnsi="Arial" w:cs="Arial"/>
          <w:sz w:val="16"/>
          <w:szCs w:val="16"/>
          <w:u w:val="single"/>
        </w:rPr>
        <w:t>Fed</w:t>
      </w:r>
      <w:r w:rsidRPr="00283F50">
        <w:rPr>
          <w:rFonts w:ascii="Arial" w:hAnsi="Arial" w:cs="Arial"/>
          <w:sz w:val="16"/>
          <w:szCs w:val="16"/>
        </w:rPr>
        <w:t xml:space="preserve">. </w:t>
      </w:r>
      <w:r w:rsidRPr="00283F50">
        <w:rPr>
          <w:rFonts w:ascii="Arial" w:hAnsi="Arial" w:cs="Arial"/>
          <w:sz w:val="16"/>
          <w:szCs w:val="16"/>
          <w:u w:val="single"/>
        </w:rPr>
        <w:t>Reg</w:t>
      </w:r>
      <w:r w:rsidRPr="00283F50">
        <w:rPr>
          <w:rFonts w:ascii="Arial" w:hAnsi="Arial" w:cs="Arial"/>
          <w:sz w:val="16"/>
          <w:szCs w:val="16"/>
        </w:rPr>
        <w:t>. 33476, at 33485 (June 4,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7B37" w14:textId="6BD72DB0" w:rsidR="008C6EDA" w:rsidRPr="00D82A47" w:rsidRDefault="001D7D17" w:rsidP="00AA2C9B">
    <w:pPr>
      <w:pStyle w:val="Header"/>
      <w:tabs>
        <w:tab w:val="left" w:pos="1800"/>
      </w:tabs>
      <w:rPr>
        <w:rFonts w:ascii="Arial" w:hAnsi="Arial" w:cs="Arial"/>
        <w:sz w:val="20"/>
      </w:rPr>
    </w:pPr>
    <w:r>
      <w:rPr>
        <w:noProof/>
        <w:color w:val="000000"/>
        <w:sz w:val="18"/>
        <w:szCs w:val="18"/>
        <w:bdr w:val="none" w:sz="0" w:space="0" w:color="auto" w:frame="1"/>
      </w:rPr>
      <w:drawing>
        <wp:inline distT="0" distB="0" distL="0" distR="0" wp14:anchorId="39009C98" wp14:editId="67844ACF">
          <wp:extent cx="769620" cy="180975"/>
          <wp:effectExtent l="0" t="0" r="0" b="9525"/>
          <wp:docPr id="2067642268" name="Picture 4" descr="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5AE"/>
    <w:multiLevelType w:val="hybridMultilevel"/>
    <w:tmpl w:val="B58AEF16"/>
    <w:lvl w:ilvl="0" w:tplc="0409000F">
      <w:start w:val="1"/>
      <w:numFmt w:val="decimal"/>
      <w:lvlText w:val="%1."/>
      <w:lvlJc w:val="left"/>
      <w:pPr>
        <w:ind w:left="830" w:hanging="360"/>
      </w:pPr>
      <w:rPr>
        <w:rFonts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0A75633B"/>
    <w:multiLevelType w:val="hybridMultilevel"/>
    <w:tmpl w:val="311A4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A2419"/>
    <w:multiLevelType w:val="hybridMultilevel"/>
    <w:tmpl w:val="5CCA2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2427A"/>
    <w:multiLevelType w:val="hybridMultilevel"/>
    <w:tmpl w:val="174C4064"/>
    <w:lvl w:ilvl="0" w:tplc="04090001">
      <w:start w:val="1"/>
      <w:numFmt w:val="bullet"/>
      <w:lvlText w:val=""/>
      <w:lvlJc w:val="left"/>
      <w:pPr>
        <w:ind w:left="997" w:hanging="360"/>
      </w:pPr>
      <w:rPr>
        <w:rFonts w:ascii="Symbol" w:hAnsi="Symbol" w:hint="default"/>
      </w:rPr>
    </w:lvl>
    <w:lvl w:ilvl="1" w:tplc="04090003">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4" w15:restartNumberingAfterBreak="0">
    <w:nsid w:val="0C110DF8"/>
    <w:multiLevelType w:val="hybridMultilevel"/>
    <w:tmpl w:val="D7F8F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F6FA3"/>
    <w:multiLevelType w:val="hybridMultilevel"/>
    <w:tmpl w:val="453217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233F73"/>
    <w:multiLevelType w:val="hybridMultilevel"/>
    <w:tmpl w:val="8DA6BD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5772F"/>
    <w:multiLevelType w:val="hybridMultilevel"/>
    <w:tmpl w:val="02EC891A"/>
    <w:lvl w:ilvl="0" w:tplc="B7861A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1D4E"/>
    <w:multiLevelType w:val="hybridMultilevel"/>
    <w:tmpl w:val="FF8416D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0C16"/>
    <w:multiLevelType w:val="hybridMultilevel"/>
    <w:tmpl w:val="2BC6C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F77081"/>
    <w:multiLevelType w:val="hybridMultilevel"/>
    <w:tmpl w:val="375A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371F8E"/>
    <w:multiLevelType w:val="hybridMultilevel"/>
    <w:tmpl w:val="70A02076"/>
    <w:lvl w:ilvl="0" w:tplc="3170FE2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24707"/>
    <w:multiLevelType w:val="hybridMultilevel"/>
    <w:tmpl w:val="41D63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2B7F3D"/>
    <w:multiLevelType w:val="hybridMultilevel"/>
    <w:tmpl w:val="52969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62371A"/>
    <w:multiLevelType w:val="hybridMultilevel"/>
    <w:tmpl w:val="82488BAC"/>
    <w:lvl w:ilvl="0" w:tplc="0A1C1E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46E48"/>
    <w:multiLevelType w:val="hybridMultilevel"/>
    <w:tmpl w:val="56102244"/>
    <w:lvl w:ilvl="0" w:tplc="CE007D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1E0D54"/>
    <w:multiLevelType w:val="hybridMultilevel"/>
    <w:tmpl w:val="60564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DB3A9F"/>
    <w:multiLevelType w:val="hybridMultilevel"/>
    <w:tmpl w:val="B58AEF16"/>
    <w:lvl w:ilvl="0" w:tplc="0409000F">
      <w:start w:val="1"/>
      <w:numFmt w:val="decimal"/>
      <w:lvlText w:val="%1."/>
      <w:lvlJc w:val="left"/>
      <w:pPr>
        <w:ind w:left="830" w:hanging="360"/>
      </w:pPr>
      <w:rPr>
        <w:rFonts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4B9E3F6C"/>
    <w:multiLevelType w:val="hybridMultilevel"/>
    <w:tmpl w:val="8FD09B64"/>
    <w:lvl w:ilvl="0" w:tplc="40BA93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C96697"/>
    <w:multiLevelType w:val="hybridMultilevel"/>
    <w:tmpl w:val="00F05A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B96A45"/>
    <w:multiLevelType w:val="hybridMultilevel"/>
    <w:tmpl w:val="41547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601785"/>
    <w:multiLevelType w:val="hybridMultilevel"/>
    <w:tmpl w:val="78F25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6E45ED"/>
    <w:multiLevelType w:val="hybridMultilevel"/>
    <w:tmpl w:val="BEE0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20AD1"/>
    <w:multiLevelType w:val="hybridMultilevel"/>
    <w:tmpl w:val="FAE0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14D1E"/>
    <w:multiLevelType w:val="hybridMultilevel"/>
    <w:tmpl w:val="8C0C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64997"/>
    <w:multiLevelType w:val="hybridMultilevel"/>
    <w:tmpl w:val="CC88F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BB14BC"/>
    <w:multiLevelType w:val="hybridMultilevel"/>
    <w:tmpl w:val="4084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60C6D"/>
    <w:multiLevelType w:val="hybridMultilevel"/>
    <w:tmpl w:val="2546330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C3597D"/>
    <w:multiLevelType w:val="hybridMultilevel"/>
    <w:tmpl w:val="9544DC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AA2191"/>
    <w:multiLevelType w:val="hybridMultilevel"/>
    <w:tmpl w:val="5E8213CC"/>
    <w:lvl w:ilvl="0" w:tplc="04090001">
      <w:start w:val="1"/>
      <w:numFmt w:val="bullet"/>
      <w:lvlText w:val=""/>
      <w:lvlJc w:val="left"/>
      <w:pPr>
        <w:tabs>
          <w:tab w:val="num" w:pos="800"/>
        </w:tabs>
        <w:ind w:left="800" w:hanging="360"/>
      </w:pPr>
      <w:rPr>
        <w:rFonts w:ascii="Symbol" w:hAnsi="Symbol" w:hint="default"/>
      </w:rPr>
    </w:lvl>
    <w:lvl w:ilvl="1" w:tplc="04090003">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num w:numId="1" w16cid:durableId="885289951">
    <w:abstractNumId w:val="29"/>
  </w:num>
  <w:num w:numId="2" w16cid:durableId="769395315">
    <w:abstractNumId w:val="11"/>
  </w:num>
  <w:num w:numId="3" w16cid:durableId="1502700069">
    <w:abstractNumId w:val="18"/>
  </w:num>
  <w:num w:numId="4" w16cid:durableId="1109817710">
    <w:abstractNumId w:val="15"/>
  </w:num>
  <w:num w:numId="5" w16cid:durableId="1731658639">
    <w:abstractNumId w:val="7"/>
  </w:num>
  <w:num w:numId="6" w16cid:durableId="528837390">
    <w:abstractNumId w:val="14"/>
  </w:num>
  <w:num w:numId="7" w16cid:durableId="1260335264">
    <w:abstractNumId w:val="0"/>
  </w:num>
  <w:num w:numId="8" w16cid:durableId="598413474">
    <w:abstractNumId w:val="28"/>
  </w:num>
  <w:num w:numId="9" w16cid:durableId="1413429789">
    <w:abstractNumId w:val="1"/>
  </w:num>
  <w:num w:numId="10" w16cid:durableId="557667507">
    <w:abstractNumId w:val="17"/>
  </w:num>
  <w:num w:numId="11" w16cid:durableId="865482650">
    <w:abstractNumId w:val="22"/>
  </w:num>
  <w:num w:numId="12" w16cid:durableId="1118722329">
    <w:abstractNumId w:val="25"/>
  </w:num>
  <w:num w:numId="13" w16cid:durableId="294989048">
    <w:abstractNumId w:val="4"/>
  </w:num>
  <w:num w:numId="14" w16cid:durableId="1059863481">
    <w:abstractNumId w:val="9"/>
  </w:num>
  <w:num w:numId="15" w16cid:durableId="2097509282">
    <w:abstractNumId w:val="10"/>
  </w:num>
  <w:num w:numId="16" w16cid:durableId="1410998945">
    <w:abstractNumId w:val="5"/>
  </w:num>
  <w:num w:numId="17" w16cid:durableId="802233402">
    <w:abstractNumId w:val="13"/>
  </w:num>
  <w:num w:numId="18" w16cid:durableId="1789810933">
    <w:abstractNumId w:val="19"/>
  </w:num>
  <w:num w:numId="19" w16cid:durableId="1108892057">
    <w:abstractNumId w:val="26"/>
  </w:num>
  <w:num w:numId="20" w16cid:durableId="144011707">
    <w:abstractNumId w:val="8"/>
  </w:num>
  <w:num w:numId="21" w16cid:durableId="916789246">
    <w:abstractNumId w:val="2"/>
  </w:num>
  <w:num w:numId="22" w16cid:durableId="1958832713">
    <w:abstractNumId w:val="20"/>
  </w:num>
  <w:num w:numId="23" w16cid:durableId="1741366223">
    <w:abstractNumId w:val="3"/>
  </w:num>
  <w:num w:numId="24" w16cid:durableId="1360624335">
    <w:abstractNumId w:val="23"/>
  </w:num>
  <w:num w:numId="25" w16cid:durableId="1136290610">
    <w:abstractNumId w:val="12"/>
  </w:num>
  <w:num w:numId="26" w16cid:durableId="1409618673">
    <w:abstractNumId w:val="21"/>
  </w:num>
  <w:num w:numId="27" w16cid:durableId="370618390">
    <w:abstractNumId w:val="24"/>
  </w:num>
  <w:num w:numId="28" w16cid:durableId="1321084264">
    <w:abstractNumId w:val="6"/>
  </w:num>
  <w:num w:numId="29" w16cid:durableId="1530953056">
    <w:abstractNumId w:val="27"/>
  </w:num>
  <w:num w:numId="30" w16cid:durableId="15835617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C5"/>
    <w:rsid w:val="00006631"/>
    <w:rsid w:val="00007A0D"/>
    <w:rsid w:val="00010FFD"/>
    <w:rsid w:val="0001368F"/>
    <w:rsid w:val="00025FC6"/>
    <w:rsid w:val="00031E1C"/>
    <w:rsid w:val="00035E46"/>
    <w:rsid w:val="000368F8"/>
    <w:rsid w:val="000413BD"/>
    <w:rsid w:val="0004400E"/>
    <w:rsid w:val="00045779"/>
    <w:rsid w:val="00046755"/>
    <w:rsid w:val="00050D4C"/>
    <w:rsid w:val="0005261E"/>
    <w:rsid w:val="00054415"/>
    <w:rsid w:val="00054854"/>
    <w:rsid w:val="00055335"/>
    <w:rsid w:val="00056844"/>
    <w:rsid w:val="00056D33"/>
    <w:rsid w:val="00075E41"/>
    <w:rsid w:val="00077094"/>
    <w:rsid w:val="000771F2"/>
    <w:rsid w:val="00077C5E"/>
    <w:rsid w:val="00086147"/>
    <w:rsid w:val="0008623B"/>
    <w:rsid w:val="000874EA"/>
    <w:rsid w:val="00091D3F"/>
    <w:rsid w:val="00097C6B"/>
    <w:rsid w:val="000A1328"/>
    <w:rsid w:val="000A2F06"/>
    <w:rsid w:val="000A3283"/>
    <w:rsid w:val="000A5496"/>
    <w:rsid w:val="000A5543"/>
    <w:rsid w:val="000A6792"/>
    <w:rsid w:val="000C24C2"/>
    <w:rsid w:val="000C29B3"/>
    <w:rsid w:val="000C715F"/>
    <w:rsid w:val="000D3C3C"/>
    <w:rsid w:val="000E362F"/>
    <w:rsid w:val="000E4FF3"/>
    <w:rsid w:val="000F1855"/>
    <w:rsid w:val="000F5F3A"/>
    <w:rsid w:val="00100D6D"/>
    <w:rsid w:val="0012174A"/>
    <w:rsid w:val="0012327D"/>
    <w:rsid w:val="00136D61"/>
    <w:rsid w:val="00137643"/>
    <w:rsid w:val="00151F9A"/>
    <w:rsid w:val="00156410"/>
    <w:rsid w:val="0015684E"/>
    <w:rsid w:val="00161A15"/>
    <w:rsid w:val="00163071"/>
    <w:rsid w:val="00164B29"/>
    <w:rsid w:val="00164F6F"/>
    <w:rsid w:val="00170380"/>
    <w:rsid w:val="001714BA"/>
    <w:rsid w:val="001724A5"/>
    <w:rsid w:val="00173CF6"/>
    <w:rsid w:val="001772B5"/>
    <w:rsid w:val="00182D29"/>
    <w:rsid w:val="001845FE"/>
    <w:rsid w:val="00186965"/>
    <w:rsid w:val="0019453E"/>
    <w:rsid w:val="001A1923"/>
    <w:rsid w:val="001A27BF"/>
    <w:rsid w:val="001A27DB"/>
    <w:rsid w:val="001A35F3"/>
    <w:rsid w:val="001A6FDD"/>
    <w:rsid w:val="001B0A4D"/>
    <w:rsid w:val="001B741E"/>
    <w:rsid w:val="001C543D"/>
    <w:rsid w:val="001C5DA6"/>
    <w:rsid w:val="001D3DDB"/>
    <w:rsid w:val="001D4850"/>
    <w:rsid w:val="001D62C0"/>
    <w:rsid w:val="001D662B"/>
    <w:rsid w:val="001D7D17"/>
    <w:rsid w:val="001E1D5B"/>
    <w:rsid w:val="001E3710"/>
    <w:rsid w:val="001E72E3"/>
    <w:rsid w:val="001F2FB7"/>
    <w:rsid w:val="002019A9"/>
    <w:rsid w:val="00204255"/>
    <w:rsid w:val="00206672"/>
    <w:rsid w:val="0020754A"/>
    <w:rsid w:val="0021110F"/>
    <w:rsid w:val="00213331"/>
    <w:rsid w:val="00217127"/>
    <w:rsid w:val="002200DB"/>
    <w:rsid w:val="00225792"/>
    <w:rsid w:val="0022683B"/>
    <w:rsid w:val="00230CB6"/>
    <w:rsid w:val="002330D5"/>
    <w:rsid w:val="00236B90"/>
    <w:rsid w:val="0024019A"/>
    <w:rsid w:val="00244A39"/>
    <w:rsid w:val="0024709E"/>
    <w:rsid w:val="00252EC6"/>
    <w:rsid w:val="002536A1"/>
    <w:rsid w:val="002573D8"/>
    <w:rsid w:val="00261046"/>
    <w:rsid w:val="00281297"/>
    <w:rsid w:val="00281C33"/>
    <w:rsid w:val="00283F50"/>
    <w:rsid w:val="00284E5A"/>
    <w:rsid w:val="00296799"/>
    <w:rsid w:val="00297B1E"/>
    <w:rsid w:val="002B1346"/>
    <w:rsid w:val="002B376A"/>
    <w:rsid w:val="002B70F0"/>
    <w:rsid w:val="002C79F4"/>
    <w:rsid w:val="002D3DDF"/>
    <w:rsid w:val="002D4E55"/>
    <w:rsid w:val="002D58E8"/>
    <w:rsid w:val="002E0672"/>
    <w:rsid w:val="002E0B94"/>
    <w:rsid w:val="002E491F"/>
    <w:rsid w:val="002E5617"/>
    <w:rsid w:val="002E625A"/>
    <w:rsid w:val="002E72A5"/>
    <w:rsid w:val="002F601E"/>
    <w:rsid w:val="00300244"/>
    <w:rsid w:val="00300A27"/>
    <w:rsid w:val="00300D4C"/>
    <w:rsid w:val="003011AD"/>
    <w:rsid w:val="00304E75"/>
    <w:rsid w:val="003143B5"/>
    <w:rsid w:val="003179BA"/>
    <w:rsid w:val="00317CF5"/>
    <w:rsid w:val="00317D5F"/>
    <w:rsid w:val="003220C7"/>
    <w:rsid w:val="0032288A"/>
    <w:rsid w:val="003242A5"/>
    <w:rsid w:val="00325796"/>
    <w:rsid w:val="00333112"/>
    <w:rsid w:val="00341961"/>
    <w:rsid w:val="00345243"/>
    <w:rsid w:val="00345787"/>
    <w:rsid w:val="003457D8"/>
    <w:rsid w:val="0034611E"/>
    <w:rsid w:val="003554DD"/>
    <w:rsid w:val="00371273"/>
    <w:rsid w:val="003722C5"/>
    <w:rsid w:val="0038322F"/>
    <w:rsid w:val="0039012F"/>
    <w:rsid w:val="003A1BC3"/>
    <w:rsid w:val="003A3F57"/>
    <w:rsid w:val="003B5CEA"/>
    <w:rsid w:val="003C4D4A"/>
    <w:rsid w:val="003D10D4"/>
    <w:rsid w:val="003D7FC6"/>
    <w:rsid w:val="003E19F3"/>
    <w:rsid w:val="003E4C5B"/>
    <w:rsid w:val="003E6A45"/>
    <w:rsid w:val="003F0220"/>
    <w:rsid w:val="003F0EBD"/>
    <w:rsid w:val="003F3DD7"/>
    <w:rsid w:val="003F47D6"/>
    <w:rsid w:val="003F660A"/>
    <w:rsid w:val="00400D83"/>
    <w:rsid w:val="00405988"/>
    <w:rsid w:val="00407215"/>
    <w:rsid w:val="00417989"/>
    <w:rsid w:val="00421AF2"/>
    <w:rsid w:val="00423579"/>
    <w:rsid w:val="00426CA5"/>
    <w:rsid w:val="004421A8"/>
    <w:rsid w:val="004433FB"/>
    <w:rsid w:val="0044562A"/>
    <w:rsid w:val="00454760"/>
    <w:rsid w:val="004601C9"/>
    <w:rsid w:val="004620DA"/>
    <w:rsid w:val="0046229A"/>
    <w:rsid w:val="00464118"/>
    <w:rsid w:val="00465CDB"/>
    <w:rsid w:val="0046768C"/>
    <w:rsid w:val="00471259"/>
    <w:rsid w:val="00476D64"/>
    <w:rsid w:val="00482680"/>
    <w:rsid w:val="004863BB"/>
    <w:rsid w:val="004A09B3"/>
    <w:rsid w:val="004A25A1"/>
    <w:rsid w:val="004A285E"/>
    <w:rsid w:val="004A366B"/>
    <w:rsid w:val="004B25A2"/>
    <w:rsid w:val="004C1895"/>
    <w:rsid w:val="004C199A"/>
    <w:rsid w:val="004C5C73"/>
    <w:rsid w:val="004C7D47"/>
    <w:rsid w:val="004E1564"/>
    <w:rsid w:val="004E656D"/>
    <w:rsid w:val="004E74ED"/>
    <w:rsid w:val="004F6F84"/>
    <w:rsid w:val="00500F6D"/>
    <w:rsid w:val="00506565"/>
    <w:rsid w:val="005077FB"/>
    <w:rsid w:val="00507874"/>
    <w:rsid w:val="005151F4"/>
    <w:rsid w:val="005214F4"/>
    <w:rsid w:val="00527BA9"/>
    <w:rsid w:val="00543FF3"/>
    <w:rsid w:val="00544D69"/>
    <w:rsid w:val="00552941"/>
    <w:rsid w:val="005549D8"/>
    <w:rsid w:val="005634C5"/>
    <w:rsid w:val="00564411"/>
    <w:rsid w:val="0056621A"/>
    <w:rsid w:val="00566A93"/>
    <w:rsid w:val="00573373"/>
    <w:rsid w:val="005736DA"/>
    <w:rsid w:val="00575AFC"/>
    <w:rsid w:val="00582E5F"/>
    <w:rsid w:val="00596BD8"/>
    <w:rsid w:val="005A2B8D"/>
    <w:rsid w:val="005A2BF6"/>
    <w:rsid w:val="005A5EDA"/>
    <w:rsid w:val="005A733D"/>
    <w:rsid w:val="005B15CA"/>
    <w:rsid w:val="005B408A"/>
    <w:rsid w:val="005B5EA6"/>
    <w:rsid w:val="005B6D1D"/>
    <w:rsid w:val="005C36BE"/>
    <w:rsid w:val="005C695A"/>
    <w:rsid w:val="005D255E"/>
    <w:rsid w:val="005D2CAA"/>
    <w:rsid w:val="005D7C99"/>
    <w:rsid w:val="005E168E"/>
    <w:rsid w:val="005E4491"/>
    <w:rsid w:val="005E6CC9"/>
    <w:rsid w:val="005F0D8E"/>
    <w:rsid w:val="0060695C"/>
    <w:rsid w:val="0061316A"/>
    <w:rsid w:val="00627146"/>
    <w:rsid w:val="00627FCE"/>
    <w:rsid w:val="0063115D"/>
    <w:rsid w:val="00633CF5"/>
    <w:rsid w:val="00636A28"/>
    <w:rsid w:val="006407D9"/>
    <w:rsid w:val="00644207"/>
    <w:rsid w:val="00646134"/>
    <w:rsid w:val="0065004E"/>
    <w:rsid w:val="006525A3"/>
    <w:rsid w:val="00653808"/>
    <w:rsid w:val="006616C5"/>
    <w:rsid w:val="00664BBE"/>
    <w:rsid w:val="006661D4"/>
    <w:rsid w:val="0067435B"/>
    <w:rsid w:val="00675311"/>
    <w:rsid w:val="0067743C"/>
    <w:rsid w:val="006817B1"/>
    <w:rsid w:val="00682B22"/>
    <w:rsid w:val="00682C60"/>
    <w:rsid w:val="00686BF4"/>
    <w:rsid w:val="00693F71"/>
    <w:rsid w:val="00694C89"/>
    <w:rsid w:val="00694C9E"/>
    <w:rsid w:val="006965EC"/>
    <w:rsid w:val="006A3AB3"/>
    <w:rsid w:val="006A5B1E"/>
    <w:rsid w:val="006B6DB9"/>
    <w:rsid w:val="006C0443"/>
    <w:rsid w:val="006D0DB2"/>
    <w:rsid w:val="006D2627"/>
    <w:rsid w:val="006D36D6"/>
    <w:rsid w:val="006D4A8E"/>
    <w:rsid w:val="006D6576"/>
    <w:rsid w:val="006E775A"/>
    <w:rsid w:val="006E7B74"/>
    <w:rsid w:val="006F3997"/>
    <w:rsid w:val="006F3BC9"/>
    <w:rsid w:val="006F5A18"/>
    <w:rsid w:val="006F6887"/>
    <w:rsid w:val="006F7F97"/>
    <w:rsid w:val="007022A5"/>
    <w:rsid w:val="0071435F"/>
    <w:rsid w:val="00717918"/>
    <w:rsid w:val="00722E47"/>
    <w:rsid w:val="00725358"/>
    <w:rsid w:val="00725D00"/>
    <w:rsid w:val="00727369"/>
    <w:rsid w:val="0072798A"/>
    <w:rsid w:val="007300B3"/>
    <w:rsid w:val="00732844"/>
    <w:rsid w:val="007365F8"/>
    <w:rsid w:val="00742135"/>
    <w:rsid w:val="0074285F"/>
    <w:rsid w:val="00743128"/>
    <w:rsid w:val="0074317E"/>
    <w:rsid w:val="00745C33"/>
    <w:rsid w:val="00752237"/>
    <w:rsid w:val="00753FA1"/>
    <w:rsid w:val="00755FFE"/>
    <w:rsid w:val="00765320"/>
    <w:rsid w:val="00766132"/>
    <w:rsid w:val="0076795F"/>
    <w:rsid w:val="00783210"/>
    <w:rsid w:val="007937CC"/>
    <w:rsid w:val="00795F03"/>
    <w:rsid w:val="00796D22"/>
    <w:rsid w:val="007A260E"/>
    <w:rsid w:val="007B0F59"/>
    <w:rsid w:val="007B1D58"/>
    <w:rsid w:val="007B5665"/>
    <w:rsid w:val="007B66B6"/>
    <w:rsid w:val="007C3CF0"/>
    <w:rsid w:val="007D18D9"/>
    <w:rsid w:val="007D76B2"/>
    <w:rsid w:val="007E0BB7"/>
    <w:rsid w:val="007E10D4"/>
    <w:rsid w:val="007E7B4C"/>
    <w:rsid w:val="007F5F70"/>
    <w:rsid w:val="008055E2"/>
    <w:rsid w:val="00813BB8"/>
    <w:rsid w:val="00815160"/>
    <w:rsid w:val="00816F9E"/>
    <w:rsid w:val="00820103"/>
    <w:rsid w:val="00820B9F"/>
    <w:rsid w:val="00827C14"/>
    <w:rsid w:val="00830DFF"/>
    <w:rsid w:val="00831A9E"/>
    <w:rsid w:val="0083686D"/>
    <w:rsid w:val="00844412"/>
    <w:rsid w:val="00846101"/>
    <w:rsid w:val="00846F9C"/>
    <w:rsid w:val="00850C21"/>
    <w:rsid w:val="008520E5"/>
    <w:rsid w:val="00852568"/>
    <w:rsid w:val="008564BB"/>
    <w:rsid w:val="00857AF9"/>
    <w:rsid w:val="00857E1C"/>
    <w:rsid w:val="00857EEB"/>
    <w:rsid w:val="00862193"/>
    <w:rsid w:val="008639B4"/>
    <w:rsid w:val="00865E04"/>
    <w:rsid w:val="00867187"/>
    <w:rsid w:val="00872029"/>
    <w:rsid w:val="008800AE"/>
    <w:rsid w:val="00892EBC"/>
    <w:rsid w:val="00896E8D"/>
    <w:rsid w:val="00897738"/>
    <w:rsid w:val="008A569E"/>
    <w:rsid w:val="008B3838"/>
    <w:rsid w:val="008B6441"/>
    <w:rsid w:val="008C07E7"/>
    <w:rsid w:val="008C3C14"/>
    <w:rsid w:val="008C3E3C"/>
    <w:rsid w:val="008C5D1E"/>
    <w:rsid w:val="008C6EDA"/>
    <w:rsid w:val="008D1EB2"/>
    <w:rsid w:val="008D21BC"/>
    <w:rsid w:val="008D220E"/>
    <w:rsid w:val="008D58DA"/>
    <w:rsid w:val="008E127A"/>
    <w:rsid w:val="008E2102"/>
    <w:rsid w:val="008E27E7"/>
    <w:rsid w:val="008E46FD"/>
    <w:rsid w:val="008E63F1"/>
    <w:rsid w:val="008E7323"/>
    <w:rsid w:val="008F53AD"/>
    <w:rsid w:val="008F576B"/>
    <w:rsid w:val="008F5AAD"/>
    <w:rsid w:val="00905967"/>
    <w:rsid w:val="00914C87"/>
    <w:rsid w:val="00922735"/>
    <w:rsid w:val="0092786B"/>
    <w:rsid w:val="0093072E"/>
    <w:rsid w:val="0093260B"/>
    <w:rsid w:val="00941F8A"/>
    <w:rsid w:val="0094327D"/>
    <w:rsid w:val="00944EB5"/>
    <w:rsid w:val="009455BA"/>
    <w:rsid w:val="00947D7D"/>
    <w:rsid w:val="00953C7D"/>
    <w:rsid w:val="00955157"/>
    <w:rsid w:val="00955AA4"/>
    <w:rsid w:val="00957DD2"/>
    <w:rsid w:val="00963666"/>
    <w:rsid w:val="009644CB"/>
    <w:rsid w:val="00964645"/>
    <w:rsid w:val="009701FC"/>
    <w:rsid w:val="00970846"/>
    <w:rsid w:val="00971C4A"/>
    <w:rsid w:val="00972866"/>
    <w:rsid w:val="0097535D"/>
    <w:rsid w:val="00975B56"/>
    <w:rsid w:val="0097641E"/>
    <w:rsid w:val="009827D1"/>
    <w:rsid w:val="009863F6"/>
    <w:rsid w:val="00987AA1"/>
    <w:rsid w:val="00987C8C"/>
    <w:rsid w:val="009906E4"/>
    <w:rsid w:val="00993B14"/>
    <w:rsid w:val="00993B58"/>
    <w:rsid w:val="009A1EA1"/>
    <w:rsid w:val="009A2432"/>
    <w:rsid w:val="009A3321"/>
    <w:rsid w:val="009A6118"/>
    <w:rsid w:val="009A67BA"/>
    <w:rsid w:val="009B1A4F"/>
    <w:rsid w:val="009B2AAC"/>
    <w:rsid w:val="009B2D77"/>
    <w:rsid w:val="009B4299"/>
    <w:rsid w:val="009B46E9"/>
    <w:rsid w:val="009B5A20"/>
    <w:rsid w:val="009C5AD6"/>
    <w:rsid w:val="009C6136"/>
    <w:rsid w:val="009D3F95"/>
    <w:rsid w:val="009D46C8"/>
    <w:rsid w:val="009D5B6E"/>
    <w:rsid w:val="009E2200"/>
    <w:rsid w:val="009E32EE"/>
    <w:rsid w:val="009E5A4A"/>
    <w:rsid w:val="009E6C79"/>
    <w:rsid w:val="009E7ED0"/>
    <w:rsid w:val="009F0481"/>
    <w:rsid w:val="009F4213"/>
    <w:rsid w:val="009F570A"/>
    <w:rsid w:val="00A04633"/>
    <w:rsid w:val="00A049A3"/>
    <w:rsid w:val="00A151A9"/>
    <w:rsid w:val="00A16FB8"/>
    <w:rsid w:val="00A250EB"/>
    <w:rsid w:val="00A26F42"/>
    <w:rsid w:val="00A35312"/>
    <w:rsid w:val="00A36E55"/>
    <w:rsid w:val="00A40B19"/>
    <w:rsid w:val="00A47179"/>
    <w:rsid w:val="00A47A6C"/>
    <w:rsid w:val="00A63AB9"/>
    <w:rsid w:val="00A63B82"/>
    <w:rsid w:val="00A71051"/>
    <w:rsid w:val="00A7644C"/>
    <w:rsid w:val="00A848D1"/>
    <w:rsid w:val="00A8766C"/>
    <w:rsid w:val="00A91437"/>
    <w:rsid w:val="00A918C0"/>
    <w:rsid w:val="00A9525B"/>
    <w:rsid w:val="00A97862"/>
    <w:rsid w:val="00AA2C9B"/>
    <w:rsid w:val="00AA7C70"/>
    <w:rsid w:val="00AB4DAE"/>
    <w:rsid w:val="00AB73BB"/>
    <w:rsid w:val="00AC235D"/>
    <w:rsid w:val="00AD0326"/>
    <w:rsid w:val="00AD099C"/>
    <w:rsid w:val="00AD1A06"/>
    <w:rsid w:val="00AD7251"/>
    <w:rsid w:val="00AD7E83"/>
    <w:rsid w:val="00AE0A89"/>
    <w:rsid w:val="00AE129B"/>
    <w:rsid w:val="00AE4763"/>
    <w:rsid w:val="00AE6C99"/>
    <w:rsid w:val="00AE702B"/>
    <w:rsid w:val="00AE776B"/>
    <w:rsid w:val="00AF03D5"/>
    <w:rsid w:val="00AF381E"/>
    <w:rsid w:val="00AF3D58"/>
    <w:rsid w:val="00AF6961"/>
    <w:rsid w:val="00AF6B47"/>
    <w:rsid w:val="00B03FF5"/>
    <w:rsid w:val="00B04C28"/>
    <w:rsid w:val="00B05780"/>
    <w:rsid w:val="00B064A5"/>
    <w:rsid w:val="00B31CA8"/>
    <w:rsid w:val="00B3634A"/>
    <w:rsid w:val="00B40239"/>
    <w:rsid w:val="00B40748"/>
    <w:rsid w:val="00B415D0"/>
    <w:rsid w:val="00B43392"/>
    <w:rsid w:val="00B5099B"/>
    <w:rsid w:val="00B53220"/>
    <w:rsid w:val="00B556CF"/>
    <w:rsid w:val="00B5756D"/>
    <w:rsid w:val="00B6101C"/>
    <w:rsid w:val="00B65708"/>
    <w:rsid w:val="00B66B07"/>
    <w:rsid w:val="00B67D3E"/>
    <w:rsid w:val="00B718E3"/>
    <w:rsid w:val="00B74F16"/>
    <w:rsid w:val="00B7566D"/>
    <w:rsid w:val="00B77A00"/>
    <w:rsid w:val="00B83AF8"/>
    <w:rsid w:val="00B931D5"/>
    <w:rsid w:val="00BA298F"/>
    <w:rsid w:val="00BB3622"/>
    <w:rsid w:val="00BB36AC"/>
    <w:rsid w:val="00BB41E7"/>
    <w:rsid w:val="00BB6534"/>
    <w:rsid w:val="00BB7DBF"/>
    <w:rsid w:val="00BC0480"/>
    <w:rsid w:val="00BC1C2D"/>
    <w:rsid w:val="00BC1FCF"/>
    <w:rsid w:val="00BC2E64"/>
    <w:rsid w:val="00BC40AB"/>
    <w:rsid w:val="00BC66AF"/>
    <w:rsid w:val="00BD130B"/>
    <w:rsid w:val="00BD1388"/>
    <w:rsid w:val="00BD7F51"/>
    <w:rsid w:val="00BE236C"/>
    <w:rsid w:val="00BE3F4C"/>
    <w:rsid w:val="00BE4226"/>
    <w:rsid w:val="00BE7DE6"/>
    <w:rsid w:val="00C00F75"/>
    <w:rsid w:val="00C06F98"/>
    <w:rsid w:val="00C10717"/>
    <w:rsid w:val="00C131FB"/>
    <w:rsid w:val="00C13FE8"/>
    <w:rsid w:val="00C208D2"/>
    <w:rsid w:val="00C30D1A"/>
    <w:rsid w:val="00C34966"/>
    <w:rsid w:val="00C42E85"/>
    <w:rsid w:val="00C44F90"/>
    <w:rsid w:val="00C521AC"/>
    <w:rsid w:val="00C563AD"/>
    <w:rsid w:val="00C6037F"/>
    <w:rsid w:val="00C64068"/>
    <w:rsid w:val="00C670C9"/>
    <w:rsid w:val="00C726F4"/>
    <w:rsid w:val="00C76D53"/>
    <w:rsid w:val="00C77A23"/>
    <w:rsid w:val="00C836CF"/>
    <w:rsid w:val="00C84074"/>
    <w:rsid w:val="00C87E47"/>
    <w:rsid w:val="00C94A35"/>
    <w:rsid w:val="00CA1261"/>
    <w:rsid w:val="00CA73E4"/>
    <w:rsid w:val="00CC1B0B"/>
    <w:rsid w:val="00CC3804"/>
    <w:rsid w:val="00CC58DD"/>
    <w:rsid w:val="00CD00BD"/>
    <w:rsid w:val="00CD401A"/>
    <w:rsid w:val="00CD508C"/>
    <w:rsid w:val="00CD520D"/>
    <w:rsid w:val="00CE1E28"/>
    <w:rsid w:val="00CE3AE4"/>
    <w:rsid w:val="00CE5316"/>
    <w:rsid w:val="00CE79AA"/>
    <w:rsid w:val="00CF45E0"/>
    <w:rsid w:val="00CF590D"/>
    <w:rsid w:val="00CF6152"/>
    <w:rsid w:val="00D042F7"/>
    <w:rsid w:val="00D04AE9"/>
    <w:rsid w:val="00D05F52"/>
    <w:rsid w:val="00D13B40"/>
    <w:rsid w:val="00D14360"/>
    <w:rsid w:val="00D159C7"/>
    <w:rsid w:val="00D201F7"/>
    <w:rsid w:val="00D220B1"/>
    <w:rsid w:val="00D22EB9"/>
    <w:rsid w:val="00D23396"/>
    <w:rsid w:val="00D2567E"/>
    <w:rsid w:val="00D30F36"/>
    <w:rsid w:val="00D350C3"/>
    <w:rsid w:val="00D420A9"/>
    <w:rsid w:val="00D567FF"/>
    <w:rsid w:val="00D6107B"/>
    <w:rsid w:val="00D61F5F"/>
    <w:rsid w:val="00D639A0"/>
    <w:rsid w:val="00D64DAE"/>
    <w:rsid w:val="00D732E5"/>
    <w:rsid w:val="00D95B9B"/>
    <w:rsid w:val="00D95C1A"/>
    <w:rsid w:val="00D964ED"/>
    <w:rsid w:val="00D97B23"/>
    <w:rsid w:val="00DA0A81"/>
    <w:rsid w:val="00DB4A77"/>
    <w:rsid w:val="00DB5A9B"/>
    <w:rsid w:val="00DB7461"/>
    <w:rsid w:val="00DD13BC"/>
    <w:rsid w:val="00DD3D2C"/>
    <w:rsid w:val="00DD40C2"/>
    <w:rsid w:val="00DD4B2D"/>
    <w:rsid w:val="00DD599D"/>
    <w:rsid w:val="00E01A32"/>
    <w:rsid w:val="00E057DB"/>
    <w:rsid w:val="00E07AD7"/>
    <w:rsid w:val="00E149FF"/>
    <w:rsid w:val="00E20621"/>
    <w:rsid w:val="00E222AB"/>
    <w:rsid w:val="00E22943"/>
    <w:rsid w:val="00E229A0"/>
    <w:rsid w:val="00E24A3E"/>
    <w:rsid w:val="00E25CCC"/>
    <w:rsid w:val="00E30CE2"/>
    <w:rsid w:val="00E318F7"/>
    <w:rsid w:val="00E32ECE"/>
    <w:rsid w:val="00E342F4"/>
    <w:rsid w:val="00E344F8"/>
    <w:rsid w:val="00E369E9"/>
    <w:rsid w:val="00E400CA"/>
    <w:rsid w:val="00E42D1B"/>
    <w:rsid w:val="00E448F8"/>
    <w:rsid w:val="00E45A64"/>
    <w:rsid w:val="00E53FE0"/>
    <w:rsid w:val="00E6156B"/>
    <w:rsid w:val="00E62516"/>
    <w:rsid w:val="00E725C7"/>
    <w:rsid w:val="00E72AAA"/>
    <w:rsid w:val="00E73CB0"/>
    <w:rsid w:val="00E73FDC"/>
    <w:rsid w:val="00E82B80"/>
    <w:rsid w:val="00E84853"/>
    <w:rsid w:val="00E865D2"/>
    <w:rsid w:val="00EA2879"/>
    <w:rsid w:val="00EA6B32"/>
    <w:rsid w:val="00EA7FAD"/>
    <w:rsid w:val="00EB05FF"/>
    <w:rsid w:val="00EB3ACA"/>
    <w:rsid w:val="00EB67E6"/>
    <w:rsid w:val="00EC3C9E"/>
    <w:rsid w:val="00EC4DE1"/>
    <w:rsid w:val="00EF3536"/>
    <w:rsid w:val="00F031B7"/>
    <w:rsid w:val="00F1202B"/>
    <w:rsid w:val="00F14FC7"/>
    <w:rsid w:val="00F168D4"/>
    <w:rsid w:val="00F20A13"/>
    <w:rsid w:val="00F22999"/>
    <w:rsid w:val="00F33A5A"/>
    <w:rsid w:val="00F3721F"/>
    <w:rsid w:val="00F41B38"/>
    <w:rsid w:val="00F43720"/>
    <w:rsid w:val="00F51D2D"/>
    <w:rsid w:val="00F535D9"/>
    <w:rsid w:val="00F54141"/>
    <w:rsid w:val="00F567EC"/>
    <w:rsid w:val="00F639FF"/>
    <w:rsid w:val="00F64938"/>
    <w:rsid w:val="00F706C2"/>
    <w:rsid w:val="00F717F9"/>
    <w:rsid w:val="00F81487"/>
    <w:rsid w:val="00F86B48"/>
    <w:rsid w:val="00F94B3A"/>
    <w:rsid w:val="00FA132D"/>
    <w:rsid w:val="00FA442F"/>
    <w:rsid w:val="00FA6546"/>
    <w:rsid w:val="00FB35FB"/>
    <w:rsid w:val="00FB613C"/>
    <w:rsid w:val="00FC0A2D"/>
    <w:rsid w:val="00FC5677"/>
    <w:rsid w:val="00FC6220"/>
    <w:rsid w:val="00FC7B4D"/>
    <w:rsid w:val="00FD0961"/>
    <w:rsid w:val="00FD1FF7"/>
    <w:rsid w:val="00FD3B4F"/>
    <w:rsid w:val="00FD5B1F"/>
    <w:rsid w:val="00FD7F6A"/>
    <w:rsid w:val="00FE2920"/>
    <w:rsid w:val="00FE5714"/>
    <w:rsid w:val="00FE7668"/>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22C5"/>
    <w:pPr>
      <w:tabs>
        <w:tab w:val="center" w:pos="4680"/>
        <w:tab w:val="right" w:pos="9360"/>
      </w:tabs>
    </w:pPr>
  </w:style>
  <w:style w:type="character" w:customStyle="1" w:styleId="FooterChar">
    <w:name w:val="Footer Char"/>
    <w:link w:val="Footer"/>
    <w:uiPriority w:val="99"/>
    <w:rsid w:val="003722C5"/>
    <w:rPr>
      <w:sz w:val="22"/>
      <w:szCs w:val="22"/>
    </w:rPr>
  </w:style>
  <w:style w:type="paragraph" w:styleId="Header">
    <w:name w:val="header"/>
    <w:basedOn w:val="Normal"/>
    <w:link w:val="HeaderChar"/>
    <w:uiPriority w:val="99"/>
    <w:unhideWhenUsed/>
    <w:rsid w:val="003722C5"/>
    <w:pPr>
      <w:tabs>
        <w:tab w:val="center" w:pos="4680"/>
        <w:tab w:val="right" w:pos="9360"/>
      </w:tabs>
    </w:pPr>
  </w:style>
  <w:style w:type="character" w:customStyle="1" w:styleId="HeaderChar">
    <w:name w:val="Header Char"/>
    <w:link w:val="Header"/>
    <w:uiPriority w:val="99"/>
    <w:rsid w:val="003722C5"/>
    <w:rPr>
      <w:sz w:val="22"/>
      <w:szCs w:val="22"/>
    </w:rPr>
  </w:style>
  <w:style w:type="paragraph" w:styleId="BodyText">
    <w:name w:val="Body Text"/>
    <w:basedOn w:val="Normal"/>
    <w:link w:val="BodyTextChar"/>
    <w:rsid w:val="001A35F3"/>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1A35F3"/>
    <w:rPr>
      <w:rFonts w:ascii="Times New Roman" w:eastAsia="Times New Roman" w:hAnsi="Times New Roman"/>
      <w:b/>
      <w:sz w:val="24"/>
    </w:rPr>
  </w:style>
  <w:style w:type="character" w:styleId="Hyperlink">
    <w:name w:val="Hyperlink"/>
    <w:basedOn w:val="DefaultParagraphFont"/>
    <w:uiPriority w:val="99"/>
    <w:unhideWhenUsed/>
    <w:rsid w:val="00820B9F"/>
    <w:rPr>
      <w:color w:val="0000FF" w:themeColor="hyperlink"/>
      <w:u w:val="single"/>
    </w:rPr>
  </w:style>
  <w:style w:type="paragraph" w:styleId="BalloonText">
    <w:name w:val="Balloon Text"/>
    <w:basedOn w:val="Normal"/>
    <w:link w:val="BalloonTextChar"/>
    <w:uiPriority w:val="99"/>
    <w:semiHidden/>
    <w:unhideWhenUsed/>
    <w:rsid w:val="0082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B9F"/>
    <w:rPr>
      <w:rFonts w:ascii="Tahoma" w:hAnsi="Tahoma" w:cs="Tahoma"/>
      <w:sz w:val="16"/>
      <w:szCs w:val="16"/>
    </w:rPr>
  </w:style>
  <w:style w:type="character" w:styleId="CommentReference">
    <w:name w:val="annotation reference"/>
    <w:basedOn w:val="DefaultParagraphFont"/>
    <w:uiPriority w:val="99"/>
    <w:semiHidden/>
    <w:unhideWhenUsed/>
    <w:rsid w:val="00820B9F"/>
    <w:rPr>
      <w:sz w:val="16"/>
      <w:szCs w:val="16"/>
    </w:rPr>
  </w:style>
  <w:style w:type="paragraph" w:styleId="CommentText">
    <w:name w:val="annotation text"/>
    <w:basedOn w:val="Normal"/>
    <w:link w:val="CommentTextChar"/>
    <w:uiPriority w:val="99"/>
    <w:unhideWhenUsed/>
    <w:rsid w:val="00820B9F"/>
    <w:pPr>
      <w:spacing w:line="240" w:lineRule="auto"/>
    </w:pPr>
    <w:rPr>
      <w:sz w:val="20"/>
      <w:szCs w:val="20"/>
    </w:rPr>
  </w:style>
  <w:style w:type="character" w:customStyle="1" w:styleId="CommentTextChar">
    <w:name w:val="Comment Text Char"/>
    <w:basedOn w:val="DefaultParagraphFont"/>
    <w:link w:val="CommentText"/>
    <w:uiPriority w:val="99"/>
    <w:rsid w:val="00820B9F"/>
  </w:style>
  <w:style w:type="paragraph" w:styleId="CommentSubject">
    <w:name w:val="annotation subject"/>
    <w:basedOn w:val="CommentText"/>
    <w:next w:val="CommentText"/>
    <w:link w:val="CommentSubjectChar"/>
    <w:uiPriority w:val="99"/>
    <w:semiHidden/>
    <w:unhideWhenUsed/>
    <w:rsid w:val="00820B9F"/>
    <w:rPr>
      <w:b/>
      <w:bCs/>
    </w:rPr>
  </w:style>
  <w:style w:type="character" w:customStyle="1" w:styleId="CommentSubjectChar">
    <w:name w:val="Comment Subject Char"/>
    <w:basedOn w:val="CommentTextChar"/>
    <w:link w:val="CommentSubject"/>
    <w:uiPriority w:val="99"/>
    <w:semiHidden/>
    <w:rsid w:val="00820B9F"/>
    <w:rPr>
      <w:b/>
      <w:bCs/>
    </w:rPr>
  </w:style>
  <w:style w:type="table" w:styleId="TableGrid">
    <w:name w:val="Table Grid"/>
    <w:basedOn w:val="TableNormal"/>
    <w:uiPriority w:val="59"/>
    <w:rsid w:val="0032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792"/>
    <w:pPr>
      <w:ind w:left="720"/>
      <w:contextualSpacing/>
    </w:pPr>
  </w:style>
  <w:style w:type="paragraph" w:styleId="FootnoteText">
    <w:name w:val="footnote text"/>
    <w:basedOn w:val="Normal"/>
    <w:link w:val="FootnoteTextChar"/>
    <w:uiPriority w:val="99"/>
    <w:semiHidden/>
    <w:unhideWhenUsed/>
    <w:rsid w:val="00171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4BA"/>
  </w:style>
  <w:style w:type="character" w:styleId="FootnoteReference">
    <w:name w:val="footnote reference"/>
    <w:unhideWhenUsed/>
    <w:rsid w:val="001714BA"/>
    <w:rPr>
      <w:vertAlign w:val="superscript"/>
    </w:rPr>
  </w:style>
  <w:style w:type="paragraph" w:styleId="EndnoteText">
    <w:name w:val="endnote text"/>
    <w:basedOn w:val="Normal"/>
    <w:link w:val="EndnoteTextChar"/>
    <w:uiPriority w:val="99"/>
    <w:semiHidden/>
    <w:unhideWhenUsed/>
    <w:rsid w:val="00742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85F"/>
  </w:style>
  <w:style w:type="character" w:styleId="EndnoteReference">
    <w:name w:val="endnote reference"/>
    <w:basedOn w:val="DefaultParagraphFont"/>
    <w:uiPriority w:val="99"/>
    <w:semiHidden/>
    <w:unhideWhenUsed/>
    <w:rsid w:val="0074285F"/>
    <w:rPr>
      <w:vertAlign w:val="superscript"/>
    </w:rPr>
  </w:style>
  <w:style w:type="character" w:styleId="UnresolvedMention">
    <w:name w:val="Unresolved Mention"/>
    <w:basedOn w:val="DefaultParagraphFont"/>
    <w:uiPriority w:val="99"/>
    <w:semiHidden/>
    <w:unhideWhenUsed/>
    <w:rsid w:val="003D10D4"/>
    <w:rPr>
      <w:color w:val="605E5C"/>
      <w:shd w:val="clear" w:color="auto" w:fill="E1DFDD"/>
    </w:rPr>
  </w:style>
  <w:style w:type="character" w:styleId="FollowedHyperlink">
    <w:name w:val="FollowedHyperlink"/>
    <w:basedOn w:val="DefaultParagraphFont"/>
    <w:uiPriority w:val="99"/>
    <w:semiHidden/>
    <w:unhideWhenUsed/>
    <w:rsid w:val="00252EC6"/>
    <w:rPr>
      <w:color w:val="800080" w:themeColor="followedHyperlink"/>
      <w:u w:val="single"/>
    </w:rPr>
  </w:style>
  <w:style w:type="paragraph" w:styleId="Revision">
    <w:name w:val="Revision"/>
    <w:hidden/>
    <w:uiPriority w:val="99"/>
    <w:semiHidden/>
    <w:rsid w:val="00056D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35">
      <w:bodyDiv w:val="1"/>
      <w:marLeft w:val="0"/>
      <w:marRight w:val="0"/>
      <w:marTop w:val="0"/>
      <w:marBottom w:val="0"/>
      <w:divBdr>
        <w:top w:val="none" w:sz="0" w:space="0" w:color="auto"/>
        <w:left w:val="none" w:sz="0" w:space="0" w:color="auto"/>
        <w:bottom w:val="none" w:sz="0" w:space="0" w:color="auto"/>
        <w:right w:val="none" w:sz="0" w:space="0" w:color="auto"/>
      </w:divBdr>
    </w:div>
    <w:div w:id="576404878">
      <w:bodyDiv w:val="1"/>
      <w:marLeft w:val="0"/>
      <w:marRight w:val="0"/>
      <w:marTop w:val="0"/>
      <w:marBottom w:val="0"/>
      <w:divBdr>
        <w:top w:val="none" w:sz="0" w:space="0" w:color="auto"/>
        <w:left w:val="none" w:sz="0" w:space="0" w:color="auto"/>
        <w:bottom w:val="none" w:sz="0" w:space="0" w:color="auto"/>
        <w:right w:val="none" w:sz="0" w:space="0" w:color="auto"/>
      </w:divBdr>
    </w:div>
    <w:div w:id="128476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ina.Bauer@osttr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anawashington xmlns="243a8f2f-0483-4c0c-9b1d-4c379cb03997" xsi:nil="true"/>
    <TaxCatchAll xmlns="a6d642f9-5c40-4431-b23a-ec0a4d37c551" xsi:nil="true"/>
    <lcf76f155ced4ddcb4097134ff3c332f xmlns="243a8f2f-0483-4c0c-9b1d-4c379cb0399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CC4B74EC039049A80401E7BCEF98D8" ma:contentTypeVersion="20" ma:contentTypeDescription="Create a new document." ma:contentTypeScope="" ma:versionID="d4bf29dbe10e67ec6e0bf8cd4406f625">
  <xsd:schema xmlns:xsd="http://www.w3.org/2001/XMLSchema" xmlns:xs="http://www.w3.org/2001/XMLSchema" xmlns:p="http://schemas.microsoft.com/office/2006/metadata/properties" xmlns:ns2="a6d642f9-5c40-4431-b23a-ec0a4d37c551" xmlns:ns3="243a8f2f-0483-4c0c-9b1d-4c379cb03997" targetNamespace="http://schemas.microsoft.com/office/2006/metadata/properties" ma:root="true" ma:fieldsID="6a9806ba495baf086a2fbe428558404b" ns2:_="" ns3:_="">
    <xsd:import namespace="a6d642f9-5c40-4431-b23a-ec0a4d37c551"/>
    <xsd:import namespace="243a8f2f-0483-4c0c-9b1d-4c379cb03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dianawashington"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642f9-5c40-4431-b23a-ec0a4d37c5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484f4b-7df9-404d-82b7-599ebc80a52a}" ma:internalName="TaxCatchAll" ma:showField="CatchAllData" ma:web="a6d642f9-5c40-4431-b23a-ec0a4d37c5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a8f2f-0483-4c0c-9b1d-4c379cb03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ianawashington" ma:index="17" nillable="true" ma:displayName="Date and time" ma:format="DateOnly" ma:internalName="dianawashington">
      <xsd:simpleType>
        <xsd:restriction base="dms:DateTime"/>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bb2edb-ef37-4e78-ba8f-b956bfde271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53906-AC29-42AE-B3F1-F8EE5F9A21F6}">
  <ds:schemaRefs>
    <ds:schemaRef ds:uri="http://schemas.microsoft.com/sharepoint/v3/contenttype/forms"/>
  </ds:schemaRefs>
</ds:datastoreItem>
</file>

<file path=customXml/itemProps2.xml><?xml version="1.0" encoding="utf-8"?>
<ds:datastoreItem xmlns:ds="http://schemas.openxmlformats.org/officeDocument/2006/customXml" ds:itemID="{A32DE6A9-BE89-426C-9D4A-C435CB4F737C}">
  <ds:schemaRefs>
    <ds:schemaRef ds:uri="http://schemas.microsoft.com/office/2006/metadata/properties"/>
    <ds:schemaRef ds:uri="http://schemas.microsoft.com/office/infopath/2007/PartnerControls"/>
    <ds:schemaRef ds:uri="243a8f2f-0483-4c0c-9b1d-4c379cb03997"/>
    <ds:schemaRef ds:uri="a6d642f9-5c40-4431-b23a-ec0a4d37c551"/>
  </ds:schemaRefs>
</ds:datastoreItem>
</file>

<file path=customXml/itemProps3.xml><?xml version="1.0" encoding="utf-8"?>
<ds:datastoreItem xmlns:ds="http://schemas.openxmlformats.org/officeDocument/2006/customXml" ds:itemID="{3129D847-1B51-4D62-B6E0-C61AEB562A47}">
  <ds:schemaRefs>
    <ds:schemaRef ds:uri="http://schemas.openxmlformats.org/officeDocument/2006/bibliography"/>
  </ds:schemaRefs>
</ds:datastoreItem>
</file>

<file path=customXml/itemProps4.xml><?xml version="1.0" encoding="utf-8"?>
<ds:datastoreItem xmlns:ds="http://schemas.openxmlformats.org/officeDocument/2006/customXml" ds:itemID="{BAA94272-F59C-43F0-A7E6-B20DC29A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642f9-5c40-4431-b23a-ec0a4d37c551"/>
    <ds:schemaRef ds:uri="243a8f2f-0483-4c0c-9b1d-4c379cb03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Links>
    <vt:vector size="12" baseType="variant">
      <vt:variant>
        <vt:i4>2687050</vt:i4>
      </vt:variant>
      <vt:variant>
        <vt:i4>81</vt:i4>
      </vt:variant>
      <vt:variant>
        <vt:i4>0</vt:i4>
      </vt:variant>
      <vt:variant>
        <vt:i4>5</vt:i4>
      </vt:variant>
      <vt:variant>
        <vt:lpwstr>mailto:tim.elliott@cmegroup.com</vt:lpwstr>
      </vt:variant>
      <vt:variant>
        <vt:lpwstr/>
      </vt:variant>
      <vt:variant>
        <vt:i4>7667812</vt:i4>
      </vt:variant>
      <vt:variant>
        <vt:i4>78</vt:i4>
      </vt:variant>
      <vt:variant>
        <vt:i4>0</vt:i4>
      </vt:variant>
      <vt:variant>
        <vt:i4>5</vt:i4>
      </vt:variant>
      <vt:variant>
        <vt:lpwstr>http://www.cmegroup.com/market-regulation/rule-filings.html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2025-09-16T18:27:00Z</dcterms:created>
  <dcterms:modified xsi:type="dcterms:W3CDTF">2025-11-19T18:18:00Z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0x010100EDCC4B74EC039049A80401E7BCEF98D8</vt:lpwstr>
  </property>
</Properties>
</file>